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8177AB" w:rsidRDefault="004B08B7" w:rsidP="00074C69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Cs w:val="28"/>
              </w:rPr>
              <w:t>Арамильского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  <w:r w:rsidR="008177AB" w:rsidRPr="008177AB">
              <w:rPr>
                <w:szCs w:val="28"/>
              </w:rPr>
              <w:t xml:space="preserve"> «Об утверждении Административного регламента исполнения муниципальной функции по осуществлению муниципального </w:t>
            </w:r>
            <w:r w:rsidR="00074C69">
              <w:rPr>
                <w:szCs w:val="28"/>
              </w:rPr>
              <w:t>лесного</w:t>
            </w:r>
            <w:r w:rsidR="008177AB" w:rsidRPr="008177AB">
              <w:rPr>
                <w:szCs w:val="28"/>
              </w:rPr>
              <w:t xml:space="preserve"> контроля на территории Арамильского городского округа»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074C69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86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D3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 w:rsidRPr="0058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АГО, специалист ЦЗО и МУ АГО Суханова В.С.</w:t>
            </w:r>
            <w:r w:rsidR="00D33FB4" w:rsidRPr="00586CD3">
              <w:rPr>
                <w:rFonts w:ascii="Times New Roman" w:hAnsi="Times New Roman" w:cs="Times New Roman"/>
                <w:sz w:val="24"/>
                <w:szCs w:val="24"/>
              </w:rPr>
              <w:t xml:space="preserve"> тел. 8343(385328</w:t>
            </w:r>
            <w:r w:rsidR="00586CD3" w:rsidRPr="0058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FB4" w:rsidRPr="00586CD3">
              <w:rPr>
                <w:rFonts w:ascii="Times New Roman" w:hAnsi="Times New Roman" w:cs="Times New Roman"/>
                <w:sz w:val="24"/>
                <w:szCs w:val="24"/>
              </w:rPr>
              <w:t xml:space="preserve">), адрес электронной почты - </w:t>
            </w:r>
            <w:hyperlink r:id="rId5" w:history="1"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58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 w:rsidRPr="00586CD3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 w:rsidRPr="0058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 w:rsidRPr="00586CD3">
              <w:rPr>
                <w:rFonts w:ascii="Times New Roman" w:hAnsi="Times New Roman" w:cs="Times New Roman"/>
                <w:sz w:val="24"/>
                <w:szCs w:val="24"/>
              </w:rPr>
              <w:t>Арамиль, 1 Мая, 12, каб. 2</w:t>
            </w:r>
            <w:r w:rsidR="00586CD3" w:rsidRPr="0058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C063CD" w:rsidRPr="008C4EEF" w:rsidRDefault="00B808EE" w:rsidP="00A56E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муниципального лесного контроля на территории </w:t>
            </w:r>
            <w:proofErr w:type="spellStart"/>
            <w:r>
              <w:rPr>
                <w:szCs w:val="28"/>
              </w:rPr>
              <w:t>Арамильского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  <w:r w:rsidR="00BA3048">
              <w:rPr>
                <w:szCs w:val="28"/>
              </w:rPr>
              <w:t>.</w:t>
            </w:r>
          </w:p>
        </w:tc>
      </w:tr>
    </w:tbl>
    <w:p w:rsidR="008C4EEF" w:rsidRDefault="008C4EEF" w:rsidP="008177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8C4E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E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66043C" w:rsidRDefault="00E478BB" w:rsidP="004B08B7">
            <w:pPr>
              <w:pStyle w:val="ConsPlusNormal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Постановления</w:t>
            </w: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содержит положения, </w:t>
            </w:r>
            <w:bookmarkStart w:id="0" w:name="_GoBack"/>
            <w:bookmarkEnd w:id="0"/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затрагивающи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е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вопросы ос</w:t>
            </w:r>
            <w:r w:rsidR="008177A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уществления </w:t>
            </w:r>
            <w:r w:rsidR="004B08B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муниципальной функции лесного контроля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063CD" w:rsidRPr="00134B5C" w:rsidRDefault="0060189F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истребован</w:t>
            </w:r>
            <w:r w:rsidR="00C21D09"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дополнительных документов от </w:t>
            </w:r>
            <w:r w:rsidR="00C21D09" w:rsidRPr="00C21D09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юридического лица, индивидуального предпринимателя 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C063CD" w:rsidRPr="00134B5C" w:rsidRDefault="00C21D09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дополнительных документов 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21D09" w:rsidRPr="00C21D09" w:rsidRDefault="00C21D09" w:rsidP="00C21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Орган местного самоуправления </w:t>
      </w:r>
      <w:r>
        <w:rPr>
          <w:szCs w:val="28"/>
        </w:rPr>
        <w:t>в</w:t>
      </w:r>
      <w:r w:rsidRPr="00C21D09">
        <w:rPr>
          <w:szCs w:val="28"/>
        </w:rPr>
        <w:t xml:space="preserve">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</w:t>
      </w:r>
      <w:r>
        <w:rPr>
          <w:szCs w:val="28"/>
        </w:rPr>
        <w:t>поряжении которых они находятся.</w:t>
      </w:r>
    </w:p>
    <w:p w:rsidR="00C063CD" w:rsidRPr="00134B5C" w:rsidRDefault="00C063CD" w:rsidP="00AC4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AC461A" w:rsidRPr="008177AB" w:rsidRDefault="008177AB" w:rsidP="008177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B">
              <w:rPr>
                <w:rFonts w:ascii="Times New Roman" w:hAnsi="Times New Roman" w:cs="Times New Roman"/>
                <w:sz w:val="24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8177AB">
              <w:rPr>
                <w:rFonts w:ascii="Times New Roman" w:hAnsi="Times New Roman" w:cs="Times New Roman"/>
                <w:sz w:val="24"/>
                <w:szCs w:val="28"/>
              </w:rPr>
              <w:t xml:space="preserve"> закон от 27 июля 2010 года </w:t>
            </w:r>
            <w:hyperlink r:id="rId6" w:history="1">
              <w:r w:rsidRPr="008177AB">
                <w:rPr>
                  <w:rFonts w:ascii="Times New Roman" w:hAnsi="Times New Roman" w:cs="Times New Roman"/>
                  <w:sz w:val="24"/>
                  <w:szCs w:val="28"/>
                </w:rPr>
                <w:t>№ 210-ФЗ</w:t>
              </w:r>
            </w:hyperlink>
            <w:r w:rsidRPr="008177AB">
              <w:rPr>
                <w:rFonts w:ascii="Times New Roman" w:hAnsi="Times New Roman" w:cs="Times New Roman"/>
                <w:sz w:val="24"/>
                <w:szCs w:val="28"/>
              </w:rPr>
              <w:t xml:space="preserve"> «Об организации предоставления государственных и муниципальных услуг»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8177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 предприниматели.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E7459B" w:rsidRDefault="00586CD3" w:rsidP="00A56E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</w:t>
            </w:r>
            <w:r w:rsidR="00A56EAB" w:rsidRPr="00A56EAB">
              <w:t>Ранее</w:t>
            </w:r>
            <w:r w:rsidR="00A56EAB">
              <w:t xml:space="preserve"> п</w:t>
            </w:r>
            <w:r w:rsidR="00A56EAB" w:rsidRPr="00A56EAB">
              <w:rPr>
                <w:rFonts w:eastAsiaTheme="minorHAnsi"/>
                <w:lang w:eastAsia="en-US"/>
              </w:rPr>
              <w:t>роверки юридических лиц и индивидуальных предпринимателей</w:t>
            </w:r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>при осуществлении муниципального лесного контроля на территории</w:t>
            </w:r>
            <w:r w:rsidR="00A56EA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56EAB" w:rsidRPr="00A56EAB">
              <w:rPr>
                <w:rFonts w:eastAsiaTheme="minorHAnsi"/>
                <w:lang w:eastAsia="en-US"/>
              </w:rPr>
              <w:t>Арамильского</w:t>
            </w:r>
            <w:proofErr w:type="spellEnd"/>
            <w:r w:rsidR="00A56EAB" w:rsidRPr="00A56EAB">
              <w:rPr>
                <w:rFonts w:eastAsiaTheme="minorHAnsi"/>
                <w:lang w:eastAsia="en-US"/>
              </w:rPr>
              <w:t xml:space="preserve"> городского округа провод</w:t>
            </w:r>
            <w:r w:rsidR="00A56EAB">
              <w:rPr>
                <w:rFonts w:eastAsiaTheme="minorHAnsi"/>
                <w:lang w:eastAsia="en-US"/>
              </w:rPr>
              <w:t>ились</w:t>
            </w:r>
            <w:r w:rsidR="00A56EAB" w:rsidRPr="00A56EAB">
              <w:rPr>
                <w:rFonts w:eastAsiaTheme="minorHAnsi"/>
                <w:lang w:eastAsia="en-US"/>
              </w:rPr>
              <w:t xml:space="preserve"> уполномоченным органом на</w:t>
            </w:r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 xml:space="preserve">осуществление муниципального лесного контроля (далее </w:t>
            </w:r>
            <w:r w:rsidR="00A56EAB">
              <w:rPr>
                <w:rFonts w:eastAsiaTheme="minorHAnsi"/>
                <w:lang w:eastAsia="en-US"/>
              </w:rPr>
              <w:t>–</w:t>
            </w:r>
            <w:r w:rsidR="00A56EAB" w:rsidRPr="00A56EAB">
              <w:rPr>
                <w:rFonts w:eastAsiaTheme="minorHAnsi"/>
                <w:lang w:eastAsia="en-US"/>
              </w:rPr>
              <w:t xml:space="preserve"> уполномоченный</w:t>
            </w:r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 xml:space="preserve">орган) - отделом ЖКХ Администрации </w:t>
            </w:r>
            <w:proofErr w:type="spellStart"/>
            <w:r w:rsidR="00A56EAB" w:rsidRPr="00A56EAB">
              <w:rPr>
                <w:rFonts w:eastAsiaTheme="minorHAnsi"/>
                <w:lang w:eastAsia="en-US"/>
              </w:rPr>
              <w:t>Арамильского</w:t>
            </w:r>
            <w:proofErr w:type="spellEnd"/>
            <w:r w:rsidR="00A56EAB" w:rsidRPr="00A56EAB">
              <w:rPr>
                <w:rFonts w:eastAsiaTheme="minorHAnsi"/>
                <w:lang w:eastAsia="en-US"/>
              </w:rPr>
              <w:t xml:space="preserve"> городского округа</w:t>
            </w:r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 xml:space="preserve">путем плановых и внеплановых проверок Администрации </w:t>
            </w:r>
            <w:proofErr w:type="spellStart"/>
            <w:r w:rsidR="00A56EAB" w:rsidRPr="00A56EAB">
              <w:rPr>
                <w:rFonts w:eastAsiaTheme="minorHAnsi"/>
                <w:lang w:eastAsia="en-US"/>
              </w:rPr>
              <w:t>Арамильского</w:t>
            </w:r>
            <w:proofErr w:type="spellEnd"/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 xml:space="preserve">городского округа в лице отдела ЖКХ Администрации </w:t>
            </w:r>
            <w:proofErr w:type="spellStart"/>
            <w:r w:rsidR="00A56EAB" w:rsidRPr="00A56EAB">
              <w:rPr>
                <w:rFonts w:eastAsiaTheme="minorHAnsi"/>
                <w:lang w:eastAsia="en-US"/>
              </w:rPr>
              <w:t>Арамильского</w:t>
            </w:r>
            <w:proofErr w:type="spellEnd"/>
            <w:r w:rsidR="00A56EAB">
              <w:rPr>
                <w:rFonts w:eastAsiaTheme="minorHAnsi"/>
                <w:lang w:eastAsia="en-US"/>
              </w:rPr>
              <w:t xml:space="preserve"> </w:t>
            </w:r>
            <w:r w:rsidR="00A56EAB" w:rsidRPr="00A56EAB">
              <w:rPr>
                <w:rFonts w:eastAsiaTheme="minorHAnsi"/>
                <w:lang w:eastAsia="en-US"/>
              </w:rPr>
              <w:t>городского округа.</w:t>
            </w:r>
          </w:p>
          <w:p w:rsidR="00586CD3" w:rsidRPr="00134B5C" w:rsidRDefault="00586CD3" w:rsidP="00586C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На основании Решения Думы </w:t>
            </w:r>
            <w:proofErr w:type="spellStart"/>
            <w:r>
              <w:rPr>
                <w:rFonts w:eastAsiaTheme="minorHAnsi"/>
                <w:lang w:eastAsia="en-US"/>
              </w:rPr>
              <w:t>Арамильского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округа от 14.12.2017 № 27/9 «Об утверждении положения «О Комитете по управлению муниципальным имуществом </w:t>
            </w:r>
            <w:proofErr w:type="spellStart"/>
            <w:r>
              <w:rPr>
                <w:rFonts w:eastAsiaTheme="minorHAnsi"/>
                <w:lang w:eastAsia="en-US"/>
              </w:rPr>
              <w:t>Арамильского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округа» полномочия по исполнению муниципальной функции  муниципального лесного контроля 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Арамильского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округа переданы Комитету по управлению муниципальным имуществом </w:t>
            </w:r>
            <w:proofErr w:type="spellStart"/>
            <w:r>
              <w:rPr>
                <w:rFonts w:eastAsiaTheme="minorHAnsi"/>
                <w:lang w:eastAsia="en-US"/>
              </w:rPr>
              <w:t>Арамильского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округа.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руб.),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периодичность 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B80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B8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86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586CD3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ЦЗО и МУ АГО Суханова В.С.</w:t>
      </w:r>
      <w:r w:rsidR="003C4E93">
        <w:rPr>
          <w:rFonts w:ascii="Times New Roman" w:hAnsi="Times New Roman" w:cs="Times New Roman"/>
          <w:sz w:val="24"/>
          <w:szCs w:val="24"/>
        </w:rPr>
        <w:t xml:space="preserve">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476"/>
    <w:multiLevelType w:val="multilevel"/>
    <w:tmpl w:val="DF7C196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074C69"/>
    <w:rsid w:val="000C3CC3"/>
    <w:rsid w:val="00134B1A"/>
    <w:rsid w:val="0018063E"/>
    <w:rsid w:val="003C4E93"/>
    <w:rsid w:val="004B08B7"/>
    <w:rsid w:val="00586CD3"/>
    <w:rsid w:val="0060189F"/>
    <w:rsid w:val="0066043C"/>
    <w:rsid w:val="006B34EE"/>
    <w:rsid w:val="008177AB"/>
    <w:rsid w:val="008C4EEF"/>
    <w:rsid w:val="00914D1E"/>
    <w:rsid w:val="009210EC"/>
    <w:rsid w:val="00A56EAB"/>
    <w:rsid w:val="00AC461A"/>
    <w:rsid w:val="00AE1994"/>
    <w:rsid w:val="00B808EE"/>
    <w:rsid w:val="00B82B4D"/>
    <w:rsid w:val="00BA2C2F"/>
    <w:rsid w:val="00BA3048"/>
    <w:rsid w:val="00C063CD"/>
    <w:rsid w:val="00C21D09"/>
    <w:rsid w:val="00C71A63"/>
    <w:rsid w:val="00D33FB4"/>
    <w:rsid w:val="00E478BB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E23"/>
  <w15:docId w15:val="{24A38F08-540E-4B45-8016-417E8CC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"/>
    <w:basedOn w:val="a"/>
    <w:rsid w:val="008177AB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76B607729043A801E6DE1BB0BD242A9C2A2C4F84D9FFECA94879C1D3pEe3L" TargetMode="External"/><Relationship Id="rId5" Type="http://schemas.openxmlformats.org/officeDocument/2006/relationships/hyperlink" Target="mailto:kumi-aram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2018-08-14T06:28:00Z</cp:lastPrinted>
  <dcterms:created xsi:type="dcterms:W3CDTF">2017-05-24T10:07:00Z</dcterms:created>
  <dcterms:modified xsi:type="dcterms:W3CDTF">2018-08-16T03:31:00Z</dcterms:modified>
</cp:coreProperties>
</file>