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5C0" w:rsidRPr="00931A71" w:rsidRDefault="001E05C0" w:rsidP="001E05C0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931A71">
        <w:rPr>
          <w:rFonts w:eastAsia="Calibri"/>
          <w:sz w:val="28"/>
          <w:szCs w:val="28"/>
        </w:rPr>
        <w:t>Форма</w:t>
      </w:r>
    </w:p>
    <w:p w:rsidR="001E05C0" w:rsidRPr="00931A71" w:rsidRDefault="001E05C0" w:rsidP="001E05C0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E05C0" w:rsidRPr="00931A71" w:rsidRDefault="001E05C0" w:rsidP="001E05C0">
      <w:pPr>
        <w:widowControl w:val="0"/>
        <w:suppressAutoHyphens/>
        <w:autoSpaceDE w:val="0"/>
        <w:autoSpaceDN w:val="0"/>
        <w:jc w:val="center"/>
        <w:rPr>
          <w:b/>
          <w:sz w:val="28"/>
          <w:szCs w:val="28"/>
        </w:rPr>
      </w:pPr>
      <w:bookmarkStart w:id="0" w:name="P446"/>
      <w:bookmarkEnd w:id="0"/>
      <w:r w:rsidRPr="00931A71">
        <w:rPr>
          <w:b/>
          <w:sz w:val="28"/>
          <w:szCs w:val="28"/>
        </w:rPr>
        <w:t>ЗАКЛЮЧЕНИЕ</w:t>
      </w:r>
    </w:p>
    <w:p w:rsidR="001E05C0" w:rsidRPr="00931A71" w:rsidRDefault="001E05C0" w:rsidP="001E05C0">
      <w:pPr>
        <w:widowControl w:val="0"/>
        <w:suppressAutoHyphens/>
        <w:autoSpaceDE w:val="0"/>
        <w:autoSpaceDN w:val="0"/>
        <w:jc w:val="center"/>
        <w:rPr>
          <w:b/>
          <w:dstrike/>
          <w:sz w:val="28"/>
          <w:szCs w:val="28"/>
        </w:rPr>
      </w:pPr>
      <w:r w:rsidRPr="00931A71">
        <w:rPr>
          <w:b/>
          <w:sz w:val="28"/>
          <w:szCs w:val="28"/>
        </w:rPr>
        <w:t xml:space="preserve">о проведении публичных консультаций для проектов нормативных правовых актов низкой степени регулирующего воздействия </w:t>
      </w:r>
    </w:p>
    <w:p w:rsidR="001E05C0" w:rsidRPr="00931A71" w:rsidRDefault="001E05C0" w:rsidP="001E05C0">
      <w:pPr>
        <w:widowControl w:val="0"/>
        <w:suppressAutoHyphens/>
        <w:autoSpaceDE w:val="0"/>
        <w:autoSpaceDN w:val="0"/>
        <w:jc w:val="center"/>
        <w:rPr>
          <w:dstrike/>
          <w:sz w:val="28"/>
          <w:szCs w:val="28"/>
        </w:rPr>
      </w:pPr>
    </w:p>
    <w:tbl>
      <w:tblPr>
        <w:tblW w:w="992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86"/>
        <w:gridCol w:w="1843"/>
        <w:gridCol w:w="490"/>
        <w:gridCol w:w="11"/>
        <w:gridCol w:w="633"/>
        <w:gridCol w:w="1341"/>
        <w:gridCol w:w="502"/>
        <w:gridCol w:w="141"/>
        <w:gridCol w:w="2050"/>
        <w:gridCol w:w="142"/>
        <w:gridCol w:w="2061"/>
      </w:tblGrid>
      <w:tr w:rsidR="001E05C0" w:rsidRPr="0020275E" w:rsidTr="001D3ACC">
        <w:tc>
          <w:tcPr>
            <w:tcW w:w="623" w:type="dxa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9300" w:type="dxa"/>
            <w:gridSpan w:val="11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1E05C0" w:rsidRPr="0020275E" w:rsidTr="001D3ACC">
        <w:tc>
          <w:tcPr>
            <w:tcW w:w="9923" w:type="dxa"/>
            <w:gridSpan w:val="12"/>
          </w:tcPr>
          <w:p w:rsidR="001E05C0" w:rsidRPr="00C7172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Вид, наименование проекта акта: </w:t>
            </w:r>
            <w:r w:rsidR="00F904D2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="00F904D2">
              <w:rPr>
                <w:sz w:val="24"/>
                <w:szCs w:val="24"/>
              </w:rPr>
              <w:t>Арамильского</w:t>
            </w:r>
            <w:proofErr w:type="spellEnd"/>
            <w:r w:rsidR="00F904D2">
              <w:rPr>
                <w:sz w:val="24"/>
                <w:szCs w:val="24"/>
              </w:rPr>
              <w:t xml:space="preserve"> городского округа </w:t>
            </w:r>
            <w:r w:rsidR="00F904D2">
              <w:rPr>
                <w:sz w:val="24"/>
                <w:szCs w:val="24"/>
              </w:rPr>
              <w:t>«</w:t>
            </w:r>
            <w:r w:rsidR="00C7172E">
              <w:rPr>
                <w:rFonts w:eastAsia="Calibri"/>
                <w:sz w:val="24"/>
                <w:szCs w:val="24"/>
              </w:rPr>
              <w:t xml:space="preserve">Об утверждении Административного регламента исполнения муниципальной функции по осуществлению муниципального земельного контроля на территории </w:t>
            </w:r>
            <w:proofErr w:type="spellStart"/>
            <w:r w:rsidR="00C7172E">
              <w:rPr>
                <w:rFonts w:eastAsia="Calibri"/>
                <w:sz w:val="24"/>
                <w:szCs w:val="24"/>
              </w:rPr>
              <w:t>Арамильского</w:t>
            </w:r>
            <w:proofErr w:type="spellEnd"/>
            <w:r w:rsidR="00C7172E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 w:rsidR="00F904D2">
              <w:rPr>
                <w:rFonts w:eastAsia="Calibri"/>
                <w:sz w:val="24"/>
                <w:szCs w:val="24"/>
              </w:rPr>
              <w:t>»</w:t>
            </w:r>
            <w:bookmarkStart w:id="1" w:name="_GoBack"/>
            <w:bookmarkEnd w:id="1"/>
          </w:p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Планируемый срок вступления в силу: </w:t>
            </w:r>
            <w:r w:rsidR="00C7172E">
              <w:rPr>
                <w:rFonts w:eastAsia="Calibri"/>
                <w:sz w:val="24"/>
                <w:szCs w:val="24"/>
              </w:rPr>
              <w:t>август 2019</w:t>
            </w:r>
          </w:p>
        </w:tc>
      </w:tr>
      <w:tr w:rsidR="001E05C0" w:rsidRPr="0020275E" w:rsidTr="001D3ACC">
        <w:tc>
          <w:tcPr>
            <w:tcW w:w="623" w:type="dxa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9300" w:type="dxa"/>
            <w:gridSpan w:val="11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14A8F">
              <w:rPr>
                <w:rFonts w:eastAsia="Calibri"/>
                <w:sz w:val="24"/>
                <w:szCs w:val="24"/>
              </w:rPr>
              <w:t>Сведения о</w:t>
            </w:r>
            <w:r>
              <w:rPr>
                <w:rFonts w:eastAsia="Calibri"/>
                <w:sz w:val="24"/>
                <w:szCs w:val="24"/>
              </w:rPr>
              <w:t>б</w:t>
            </w:r>
            <w:r w:rsidRPr="00E14A8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отраслевом</w:t>
            </w:r>
            <w:r w:rsidRPr="00E14A8F">
              <w:rPr>
                <w:rFonts w:eastAsia="Calibri"/>
                <w:sz w:val="24"/>
                <w:szCs w:val="24"/>
              </w:rPr>
              <w:t xml:space="preserve"> органе - разработчике проекта акта, проводящем оценку регулирующего воздействия</w:t>
            </w:r>
          </w:p>
        </w:tc>
      </w:tr>
      <w:tr w:rsidR="001E05C0" w:rsidRPr="0020275E" w:rsidTr="001D3ACC">
        <w:tc>
          <w:tcPr>
            <w:tcW w:w="9923" w:type="dxa"/>
            <w:gridSpan w:val="12"/>
          </w:tcPr>
          <w:p w:rsidR="001E05C0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 местного самоуправления, отдел (управление), разработавший проект акта (далее – разработчик):</w:t>
            </w:r>
          </w:p>
          <w:p w:rsidR="001E05C0" w:rsidRDefault="00C7172E" w:rsidP="001D3AC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Комитет по управлению муниципальным имуществом </w:t>
            </w:r>
            <w:proofErr w:type="spellStart"/>
            <w:r>
              <w:rPr>
                <w:rFonts w:eastAsia="Calibri"/>
                <w:sz w:val="24"/>
                <w:szCs w:val="24"/>
              </w:rPr>
              <w:t>Арамильского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городского округа</w:t>
            </w:r>
          </w:p>
          <w:p w:rsidR="001E05C0" w:rsidRPr="008B3F71" w:rsidRDefault="001E05C0" w:rsidP="001D3AC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</w:t>
            </w:r>
          </w:p>
          <w:p w:rsidR="001E05C0" w:rsidRPr="008B3F71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Сведения об органах местного самоуправления, отделах (управлениях) – соисполнителях:</w:t>
            </w:r>
            <w:r w:rsidR="00C7172E">
              <w:rPr>
                <w:rFonts w:eastAsia="Calibri"/>
                <w:sz w:val="24"/>
                <w:szCs w:val="24"/>
              </w:rPr>
              <w:t xml:space="preserve"> -</w:t>
            </w:r>
          </w:p>
          <w:p w:rsidR="001E05C0" w:rsidRDefault="001E05C0" w:rsidP="001D3AC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</w:t>
            </w:r>
            <w:r w:rsidR="003A44EB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_________________</w:t>
            </w:r>
          </w:p>
          <w:p w:rsidR="001E05C0" w:rsidRPr="008B3F71" w:rsidRDefault="001E05C0" w:rsidP="001D3AC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</w:t>
            </w:r>
          </w:p>
          <w:p w:rsidR="001E05C0" w:rsidRPr="008B3F71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 xml:space="preserve">Должность: </w:t>
            </w:r>
            <w:r w:rsidR="00C7172E">
              <w:rPr>
                <w:rFonts w:eastAsia="Calibri"/>
                <w:sz w:val="24"/>
                <w:szCs w:val="24"/>
              </w:rPr>
              <w:t>заместитель Председателя КУМИ АГО</w:t>
            </w:r>
          </w:p>
          <w:p w:rsidR="001E05C0" w:rsidRPr="008B3F71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14A8F">
              <w:rPr>
                <w:rFonts w:eastAsia="Calibri"/>
                <w:sz w:val="24"/>
                <w:szCs w:val="24"/>
              </w:rPr>
              <w:t xml:space="preserve">Тел.: </w:t>
            </w:r>
            <w:r w:rsidR="00C7172E">
              <w:rPr>
                <w:rFonts w:eastAsia="Calibri"/>
                <w:sz w:val="24"/>
                <w:szCs w:val="24"/>
              </w:rPr>
              <w:t>+7 (343)385-32-86</w:t>
            </w:r>
          </w:p>
        </w:tc>
      </w:tr>
      <w:tr w:rsidR="001E05C0" w:rsidRPr="0020275E" w:rsidTr="001D3ACC">
        <w:tc>
          <w:tcPr>
            <w:tcW w:w="623" w:type="dxa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9300" w:type="dxa"/>
            <w:gridSpan w:val="11"/>
          </w:tcPr>
          <w:p w:rsidR="001E05C0" w:rsidRPr="00C7172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Способ направления участниками публичных консультаций своих предложений: </w:t>
            </w:r>
            <w:r w:rsidRPr="008B3F71">
              <w:rPr>
                <w:sz w:val="24"/>
                <w:szCs w:val="24"/>
              </w:rPr>
              <w:t xml:space="preserve">с использованием программных средств интернет - портала «Оценка регулирующего воздействия в Свердловской области» </w:t>
            </w:r>
            <w:hyperlink r:id="rId5" w:history="1">
              <w:r w:rsidRPr="00C46AEB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C46AEB">
                <w:rPr>
                  <w:rStyle w:val="a3"/>
                  <w:sz w:val="24"/>
                  <w:szCs w:val="24"/>
                </w:rPr>
                <w:t>.regulation.midural.ru</w:t>
              </w:r>
            </w:hyperlink>
            <w:r w:rsidRPr="00C46AEB">
              <w:rPr>
                <w:rStyle w:val="a3"/>
                <w:sz w:val="24"/>
                <w:szCs w:val="24"/>
              </w:rPr>
              <w:t>,</w:t>
            </w:r>
            <w:r>
              <w:rPr>
                <w:rStyle w:val="a3"/>
                <w:sz w:val="24"/>
                <w:szCs w:val="24"/>
              </w:rPr>
              <w:t xml:space="preserve"> </w:t>
            </w:r>
            <w:r w:rsidRPr="005C3A92">
              <w:rPr>
                <w:rFonts w:eastAsia="Calibri"/>
                <w:sz w:val="24"/>
                <w:szCs w:val="24"/>
              </w:rPr>
              <w:t xml:space="preserve">официального сайта </w:t>
            </w:r>
            <w:proofErr w:type="spellStart"/>
            <w:r w:rsidRPr="005C3A92">
              <w:rPr>
                <w:rFonts w:eastAsia="Calibri"/>
                <w:sz w:val="24"/>
                <w:szCs w:val="24"/>
              </w:rPr>
              <w:t>Арамильского</w:t>
            </w:r>
            <w:proofErr w:type="spellEnd"/>
            <w:r w:rsidRPr="005C3A92">
              <w:rPr>
                <w:rFonts w:eastAsia="Calibri"/>
                <w:sz w:val="24"/>
                <w:szCs w:val="24"/>
              </w:rPr>
              <w:t xml:space="preserve"> городского округа </w:t>
            </w:r>
            <w:hyperlink r:id="rId6" w:history="1">
              <w:r w:rsidR="00C7172E" w:rsidRPr="004610ED">
                <w:rPr>
                  <w:rStyle w:val="a3"/>
                  <w:rFonts w:eastAsia="Calibri"/>
                  <w:sz w:val="24"/>
                  <w:szCs w:val="24"/>
                </w:rPr>
                <w:t>www.aramilgo.ru</w:t>
              </w:r>
            </w:hyperlink>
            <w:r w:rsidR="00C7172E">
              <w:rPr>
                <w:rFonts w:eastAsia="Calibri"/>
                <w:sz w:val="24"/>
                <w:szCs w:val="24"/>
              </w:rPr>
              <w:t xml:space="preserve">, электронная почта: </w:t>
            </w:r>
            <w:proofErr w:type="spellStart"/>
            <w:r w:rsidR="00C7172E">
              <w:rPr>
                <w:rFonts w:eastAsia="Calibri"/>
                <w:sz w:val="24"/>
                <w:szCs w:val="24"/>
                <w:lang w:val="en-US"/>
              </w:rPr>
              <w:t>kumi</w:t>
            </w:r>
            <w:proofErr w:type="spellEnd"/>
            <w:r w:rsidR="00C7172E" w:rsidRPr="00C7172E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="00C7172E">
              <w:rPr>
                <w:rFonts w:eastAsia="Calibri"/>
                <w:sz w:val="24"/>
                <w:szCs w:val="24"/>
                <w:lang w:val="en-US"/>
              </w:rPr>
              <w:t>aramil</w:t>
            </w:r>
            <w:proofErr w:type="spellEnd"/>
            <w:r w:rsidR="00C7172E" w:rsidRPr="00C7172E">
              <w:rPr>
                <w:rFonts w:eastAsia="Calibri"/>
                <w:sz w:val="24"/>
                <w:szCs w:val="24"/>
              </w:rPr>
              <w:t>@</w:t>
            </w:r>
            <w:r w:rsidR="00C7172E">
              <w:rPr>
                <w:rFonts w:eastAsia="Calibri"/>
                <w:sz w:val="24"/>
                <w:szCs w:val="24"/>
                <w:lang w:val="en-US"/>
              </w:rPr>
              <w:t>mail</w:t>
            </w:r>
            <w:r w:rsidR="00C7172E" w:rsidRPr="00C7172E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="00C7172E"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E05C0" w:rsidRPr="0020275E" w:rsidTr="001D3ACC">
        <w:tc>
          <w:tcPr>
            <w:tcW w:w="623" w:type="dxa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9300" w:type="dxa"/>
            <w:gridSpan w:val="11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1E05C0" w:rsidRPr="0020275E" w:rsidTr="001D3ACC">
        <w:tc>
          <w:tcPr>
            <w:tcW w:w="9923" w:type="dxa"/>
            <w:gridSpan w:val="12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4.1. Степень регулирующего воздействия проекта акта: низкая</w:t>
            </w:r>
          </w:p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C7172E" w:rsidRPr="00C704AE" w:rsidRDefault="001E05C0" w:rsidP="00C7172E">
            <w:pPr>
              <w:autoSpaceDE w:val="0"/>
              <w:autoSpaceDN w:val="0"/>
              <w:adjustRightInd w:val="0"/>
              <w:ind w:firstLine="502"/>
              <w:jc w:val="both"/>
              <w:rPr>
                <w:b/>
                <w:i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4.2. Обоснование отнесения проекта акта к определенной степени регулирующего воздействия: </w:t>
            </w:r>
            <w:r w:rsidR="00C7172E" w:rsidRPr="00006035"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  <w:t xml:space="preserve">Данный проект </w:t>
            </w:r>
            <w:r w:rsidR="00C7172E"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  <w:t xml:space="preserve">имеет низкую степень регулирующего воздействия, так как проект акта </w:t>
            </w:r>
            <w:r w:rsidR="00C7172E" w:rsidRPr="00006035"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  <w:t xml:space="preserve">не содержит положения, рекомендации, дополняющие ранее </w:t>
            </w:r>
            <w:r w:rsidR="00C7172E" w:rsidRPr="008B250B"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  <w:t>действующий Административный регламент исполнения муниципальной функции по осуществлению муниципального земельного контроля</w:t>
            </w:r>
            <w:r w:rsidR="00C7172E"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  <w:t xml:space="preserve">, утвержденный постановлением Администрации </w:t>
            </w:r>
            <w:proofErr w:type="spellStart"/>
            <w:r w:rsidR="00C7172E"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  <w:t>Арамильского</w:t>
            </w:r>
            <w:proofErr w:type="spellEnd"/>
            <w:r w:rsidR="00C7172E"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  <w:t xml:space="preserve"> городского округа от 18.08.2016 № 395</w:t>
            </w:r>
          </w:p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4.3. Срок проведения публичных консультаций: </w:t>
            </w:r>
            <w:r w:rsidR="00C7172E">
              <w:rPr>
                <w:rFonts w:eastAsia="Calibri"/>
                <w:sz w:val="24"/>
                <w:szCs w:val="24"/>
              </w:rPr>
              <w:t xml:space="preserve">10 </w:t>
            </w:r>
            <w:r w:rsidRPr="0020275E">
              <w:rPr>
                <w:rFonts w:eastAsia="Calibri"/>
                <w:sz w:val="24"/>
                <w:szCs w:val="24"/>
              </w:rPr>
              <w:t>рабочих дней</w:t>
            </w:r>
          </w:p>
        </w:tc>
      </w:tr>
      <w:tr w:rsidR="001E05C0" w:rsidRPr="0020275E" w:rsidTr="001D3ACC">
        <w:tc>
          <w:tcPr>
            <w:tcW w:w="623" w:type="dxa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9300" w:type="dxa"/>
            <w:gridSpan w:val="11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</w:t>
            </w:r>
            <w:r w:rsidRPr="00EA18B8">
              <w:rPr>
                <w:rFonts w:eastAsia="Calibri"/>
                <w:sz w:val="24"/>
                <w:szCs w:val="24"/>
              </w:rPr>
              <w:t xml:space="preserve"> </w:t>
            </w:r>
            <w:r w:rsidRPr="0020275E">
              <w:rPr>
                <w:rFonts w:eastAsia="Calibri"/>
                <w:sz w:val="24"/>
                <w:szCs w:val="24"/>
              </w:rPr>
              <w:t>с наличием рассматриваемой проблемы</w:t>
            </w:r>
          </w:p>
        </w:tc>
      </w:tr>
      <w:tr w:rsidR="001E05C0" w:rsidRPr="0020275E" w:rsidTr="001D3ACC">
        <w:trPr>
          <w:trHeight w:val="2669"/>
        </w:trPr>
        <w:tc>
          <w:tcPr>
            <w:tcW w:w="9923" w:type="dxa"/>
            <w:gridSpan w:val="12"/>
          </w:tcPr>
          <w:p w:rsidR="001E05C0" w:rsidRPr="00C7172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lastRenderedPageBreak/>
              <w:t xml:space="preserve">5.1. Описание проблемы, на решение которой направлен предлагаемый способ регулирования, условий и факторов ее существования: </w:t>
            </w:r>
            <w:r w:rsidR="00C7172E" w:rsidRPr="00C7172E">
              <w:rPr>
                <w:rFonts w:eastAsia="Calibri"/>
                <w:b/>
                <w:i/>
                <w:sz w:val="24"/>
                <w:szCs w:val="24"/>
              </w:rPr>
              <w:t>принятие проекта акта необходимо в целях приведения в соответствие с действующим законодательством.</w:t>
            </w:r>
          </w:p>
          <w:p w:rsidR="001E05C0" w:rsidRPr="00C7172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5.2. Негативные эффекты, возникающие в связи с наличием проблемы</w:t>
            </w:r>
            <w:proofErr w:type="gramStart"/>
            <w:r w:rsidRPr="0020275E">
              <w:rPr>
                <w:rFonts w:eastAsia="Calibri"/>
                <w:sz w:val="24"/>
                <w:szCs w:val="24"/>
              </w:rPr>
              <w:t>:</w:t>
            </w:r>
            <w:proofErr w:type="gramEnd"/>
            <w:r w:rsidRPr="0020275E">
              <w:rPr>
                <w:rFonts w:eastAsia="Calibri"/>
                <w:sz w:val="24"/>
                <w:szCs w:val="24"/>
              </w:rPr>
              <w:t xml:space="preserve"> </w:t>
            </w:r>
            <w:r w:rsidR="00C7172E" w:rsidRPr="00C7172E">
              <w:rPr>
                <w:rFonts w:eastAsia="Calibri"/>
                <w:b/>
                <w:i/>
                <w:sz w:val="24"/>
                <w:szCs w:val="24"/>
              </w:rPr>
              <w:t>отсутствуют</w:t>
            </w:r>
          </w:p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C7172E" w:rsidRDefault="001E05C0" w:rsidP="00C7172E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5.3. Источники данных: </w:t>
            </w:r>
          </w:p>
          <w:p w:rsidR="00C7172E" w:rsidRPr="00C7172E" w:rsidRDefault="00C7172E" w:rsidP="00C7172E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7172E">
              <w:rPr>
                <w:rFonts w:eastAsia="Calibri"/>
                <w:sz w:val="24"/>
                <w:szCs w:val="24"/>
              </w:rPr>
              <w:t>- Земельный кодекс Российской Федерации;</w:t>
            </w:r>
          </w:p>
          <w:p w:rsidR="00C7172E" w:rsidRPr="00C7172E" w:rsidRDefault="00C7172E" w:rsidP="00C7172E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7172E">
              <w:rPr>
                <w:rFonts w:eastAsia="Calibri"/>
                <w:sz w:val="24"/>
                <w:szCs w:val="24"/>
              </w:rPr>
              <w:t>- Федеральный закон от 2612.2008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C7172E" w:rsidRPr="00C7172E" w:rsidRDefault="00C7172E" w:rsidP="00C7172E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7172E">
              <w:rPr>
                <w:rFonts w:eastAsia="Calibri"/>
                <w:sz w:val="24"/>
                <w:szCs w:val="24"/>
              </w:rPr>
              <w:t>- Постановление Правительства Свердловской области от 28.06.2012 № 703-ПП «Об утверждении Порядка разработки и принятия административных регламентов осуществления муниципального контроля на территории Свердловской области»;</w:t>
            </w:r>
          </w:p>
          <w:p w:rsidR="001E05C0" w:rsidRPr="0020275E" w:rsidRDefault="00C7172E" w:rsidP="00C7172E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7172E">
              <w:rPr>
                <w:rFonts w:eastAsia="Calibri"/>
                <w:sz w:val="24"/>
                <w:szCs w:val="24"/>
              </w:rPr>
              <w:t xml:space="preserve">- иные нормативные правовые акты Российской Федерации, нормативные правовые акты Свердловской области и </w:t>
            </w:r>
            <w:proofErr w:type="spellStart"/>
            <w:r w:rsidRPr="00C7172E">
              <w:rPr>
                <w:rFonts w:eastAsia="Calibri"/>
                <w:sz w:val="24"/>
                <w:szCs w:val="24"/>
              </w:rPr>
              <w:t>Арамильского</w:t>
            </w:r>
            <w:proofErr w:type="spellEnd"/>
            <w:r w:rsidRPr="00C7172E">
              <w:rPr>
                <w:rFonts w:eastAsia="Calibri"/>
                <w:sz w:val="24"/>
                <w:szCs w:val="24"/>
              </w:rPr>
              <w:t xml:space="preserve"> городского округа.</w:t>
            </w:r>
          </w:p>
        </w:tc>
      </w:tr>
      <w:tr w:rsidR="001E05C0" w:rsidRPr="0020275E" w:rsidTr="001D3ACC">
        <w:tc>
          <w:tcPr>
            <w:tcW w:w="623" w:type="dxa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9300" w:type="dxa"/>
            <w:gridSpan w:val="11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Анализ </w:t>
            </w:r>
            <w:r>
              <w:rPr>
                <w:rFonts w:eastAsia="Calibri"/>
                <w:sz w:val="24"/>
                <w:szCs w:val="24"/>
              </w:rPr>
              <w:t>муниципального</w:t>
            </w:r>
            <w:r w:rsidRPr="0020275E">
              <w:rPr>
                <w:rFonts w:eastAsia="Calibri"/>
                <w:sz w:val="24"/>
                <w:szCs w:val="24"/>
              </w:rPr>
              <w:t xml:space="preserve"> опыт</w:t>
            </w:r>
            <w:r>
              <w:rPr>
                <w:rFonts w:eastAsia="Calibri"/>
                <w:sz w:val="24"/>
                <w:szCs w:val="24"/>
              </w:rPr>
              <w:t xml:space="preserve">а </w:t>
            </w:r>
            <w:r w:rsidRPr="0020275E">
              <w:rPr>
                <w:rFonts w:eastAsia="Calibri"/>
                <w:sz w:val="24"/>
                <w:szCs w:val="24"/>
              </w:rPr>
              <w:t>в соответствующих сферах деятельности</w:t>
            </w:r>
          </w:p>
        </w:tc>
      </w:tr>
      <w:tr w:rsidR="001E05C0" w:rsidRPr="0020275E" w:rsidTr="001D3ACC">
        <w:tc>
          <w:tcPr>
            <w:tcW w:w="9923" w:type="dxa"/>
            <w:gridSpan w:val="12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6.1. </w:t>
            </w:r>
            <w:r>
              <w:rPr>
                <w:rFonts w:eastAsia="Calibri"/>
                <w:sz w:val="24"/>
                <w:szCs w:val="24"/>
              </w:rPr>
              <w:t>Муниципальный</w:t>
            </w:r>
            <w:r w:rsidRPr="0020275E">
              <w:rPr>
                <w:rFonts w:eastAsia="Calibri"/>
                <w:sz w:val="24"/>
                <w:szCs w:val="24"/>
              </w:rPr>
              <w:t xml:space="preserve"> опыт в соответствующих сферах: </w:t>
            </w:r>
            <w:r w:rsidR="00C7172E" w:rsidRPr="00C7172E">
              <w:rPr>
                <w:rFonts w:eastAsia="Calibri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="00C7172E" w:rsidRPr="00C7172E">
              <w:rPr>
                <w:rFonts w:eastAsia="Calibri"/>
                <w:sz w:val="24"/>
                <w:szCs w:val="24"/>
              </w:rPr>
              <w:t>Арамильского</w:t>
            </w:r>
            <w:proofErr w:type="spellEnd"/>
            <w:r w:rsidR="00C7172E" w:rsidRPr="00C7172E">
              <w:rPr>
                <w:rFonts w:eastAsia="Calibri"/>
                <w:sz w:val="24"/>
                <w:szCs w:val="24"/>
              </w:rPr>
              <w:t xml:space="preserve"> городского округа от 18.08.2016 № 395 «Об утверждении Административного регламента исполнения муниципальной функции по осуществлению муниципального земельного контроля на территории </w:t>
            </w:r>
            <w:proofErr w:type="spellStart"/>
            <w:r w:rsidR="00C7172E" w:rsidRPr="00C7172E">
              <w:rPr>
                <w:rFonts w:eastAsia="Calibri"/>
                <w:sz w:val="24"/>
                <w:szCs w:val="24"/>
              </w:rPr>
              <w:t>Арамильского</w:t>
            </w:r>
            <w:proofErr w:type="spellEnd"/>
            <w:r w:rsidR="00C7172E" w:rsidRPr="00C7172E">
              <w:rPr>
                <w:rFonts w:eastAsia="Calibri"/>
                <w:sz w:val="24"/>
                <w:szCs w:val="24"/>
              </w:rPr>
              <w:t xml:space="preserve"> городского округа»</w:t>
            </w:r>
          </w:p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6.2. Источники данных: </w:t>
            </w:r>
            <w:r w:rsidR="00C7172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1E05C0" w:rsidRPr="0020275E" w:rsidTr="001D3ACC">
        <w:tc>
          <w:tcPr>
            <w:tcW w:w="623" w:type="dxa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9300" w:type="dxa"/>
            <w:gridSpan w:val="11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  <w:r>
              <w:rPr>
                <w:rFonts w:eastAsia="Calibri"/>
                <w:sz w:val="24"/>
                <w:szCs w:val="24"/>
              </w:rPr>
              <w:t xml:space="preserve">, Думы Арамильского городского округа, Администрации Арамильского городского округа </w:t>
            </w:r>
          </w:p>
        </w:tc>
      </w:tr>
      <w:tr w:rsidR="001E05C0" w:rsidRPr="0020275E" w:rsidTr="00C7172E">
        <w:tc>
          <w:tcPr>
            <w:tcW w:w="3053" w:type="dxa"/>
            <w:gridSpan w:val="5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7.1. Цели предлагаемого регулирования:</w:t>
            </w:r>
          </w:p>
        </w:tc>
        <w:tc>
          <w:tcPr>
            <w:tcW w:w="2617" w:type="dxa"/>
            <w:gridSpan w:val="4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4253" w:type="dxa"/>
            <w:gridSpan w:val="3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7.3. Положения проекта, направленные на достижение целей регулирования</w:t>
            </w:r>
          </w:p>
        </w:tc>
      </w:tr>
      <w:tr w:rsidR="001E05C0" w:rsidRPr="0020275E" w:rsidTr="00C7172E">
        <w:tc>
          <w:tcPr>
            <w:tcW w:w="3053" w:type="dxa"/>
            <w:gridSpan w:val="5"/>
          </w:tcPr>
          <w:p w:rsidR="001E05C0" w:rsidRPr="0020275E" w:rsidRDefault="00C7172E" w:rsidP="001D3AC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</w:t>
            </w:r>
            <w:r w:rsidRPr="00B01568">
              <w:rPr>
                <w:b/>
                <w:i/>
                <w:sz w:val="24"/>
                <w:szCs w:val="24"/>
              </w:rPr>
              <w:t>порядочени</w:t>
            </w:r>
            <w:r>
              <w:rPr>
                <w:b/>
                <w:i/>
                <w:sz w:val="24"/>
                <w:szCs w:val="24"/>
              </w:rPr>
              <w:t>е</w:t>
            </w:r>
            <w:r w:rsidRPr="00B01568">
              <w:rPr>
                <w:b/>
                <w:i/>
                <w:sz w:val="24"/>
                <w:szCs w:val="24"/>
              </w:rPr>
              <w:t xml:space="preserve"> процедуры проведения плановых и внеплановых проверок юридических лиц, индивидуальных предпринимателей и граждан при исполнении муниципальной функции по осуществлению муниципального земельного </w:t>
            </w:r>
            <w:proofErr w:type="gramStart"/>
            <w:r w:rsidRPr="00B01568">
              <w:rPr>
                <w:b/>
                <w:i/>
                <w:sz w:val="24"/>
                <w:szCs w:val="24"/>
              </w:rPr>
              <w:t>контроля  на</w:t>
            </w:r>
            <w:proofErr w:type="gramEnd"/>
            <w:r w:rsidRPr="00B01568">
              <w:rPr>
                <w:b/>
                <w:i/>
                <w:sz w:val="24"/>
                <w:szCs w:val="24"/>
              </w:rPr>
              <w:t xml:space="preserve"> территории </w:t>
            </w:r>
            <w:proofErr w:type="spellStart"/>
            <w:r w:rsidRPr="00B01568">
              <w:rPr>
                <w:b/>
                <w:i/>
                <w:sz w:val="24"/>
                <w:szCs w:val="24"/>
              </w:rPr>
              <w:t>Арамильского</w:t>
            </w:r>
            <w:proofErr w:type="spellEnd"/>
            <w:r w:rsidRPr="00B01568">
              <w:rPr>
                <w:b/>
                <w:i/>
                <w:sz w:val="24"/>
                <w:szCs w:val="24"/>
              </w:rPr>
              <w:t xml:space="preserve"> городского округа.</w:t>
            </w:r>
          </w:p>
        </w:tc>
        <w:tc>
          <w:tcPr>
            <w:tcW w:w="2617" w:type="dxa"/>
            <w:gridSpan w:val="4"/>
          </w:tcPr>
          <w:p w:rsidR="00C7172E" w:rsidRPr="00C7172E" w:rsidRDefault="00C7172E" w:rsidP="00C7172E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C7172E">
              <w:rPr>
                <w:rFonts w:eastAsia="Calibri"/>
                <w:b/>
                <w:i/>
                <w:sz w:val="24"/>
                <w:szCs w:val="24"/>
              </w:rPr>
              <w:t>После вступления в силу</w:t>
            </w:r>
          </w:p>
          <w:p w:rsidR="00C7172E" w:rsidRPr="00C7172E" w:rsidRDefault="00C7172E" w:rsidP="00C7172E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C7172E">
              <w:rPr>
                <w:rFonts w:eastAsia="Calibri"/>
                <w:b/>
                <w:i/>
                <w:sz w:val="24"/>
                <w:szCs w:val="24"/>
              </w:rPr>
              <w:t>нормативного правового</w:t>
            </w:r>
          </w:p>
          <w:p w:rsidR="001E05C0" w:rsidRPr="0020275E" w:rsidRDefault="00C7172E" w:rsidP="00C7172E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7172E">
              <w:rPr>
                <w:rFonts w:eastAsia="Calibri"/>
                <w:b/>
                <w:i/>
                <w:sz w:val="24"/>
                <w:szCs w:val="24"/>
              </w:rPr>
              <w:t>акта</w:t>
            </w:r>
          </w:p>
        </w:tc>
        <w:tc>
          <w:tcPr>
            <w:tcW w:w="4253" w:type="dxa"/>
            <w:gridSpan w:val="3"/>
          </w:tcPr>
          <w:p w:rsidR="001E05C0" w:rsidRPr="0020275E" w:rsidRDefault="00C7172E" w:rsidP="001D3AC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250B">
              <w:rPr>
                <w:rFonts w:eastAsia="Calibri"/>
                <w:b/>
                <w:i/>
                <w:sz w:val="24"/>
                <w:szCs w:val="24"/>
              </w:rPr>
              <w:t>Проект акта в целом</w:t>
            </w:r>
          </w:p>
        </w:tc>
      </w:tr>
      <w:tr w:rsidR="001E05C0" w:rsidRPr="0020275E" w:rsidTr="00C7172E">
        <w:trPr>
          <w:trHeight w:val="455"/>
        </w:trPr>
        <w:tc>
          <w:tcPr>
            <w:tcW w:w="9923" w:type="dxa"/>
            <w:gridSpan w:val="12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  <w:r>
              <w:rPr>
                <w:rFonts w:eastAsia="Calibri"/>
                <w:sz w:val="24"/>
                <w:szCs w:val="24"/>
              </w:rPr>
              <w:t xml:space="preserve">, Думы Арамильского городского округа, Администрации </w:t>
            </w:r>
            <w:proofErr w:type="spellStart"/>
            <w:r>
              <w:rPr>
                <w:rFonts w:eastAsia="Calibri"/>
                <w:sz w:val="24"/>
                <w:szCs w:val="24"/>
              </w:rPr>
              <w:t>Арамильского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городского </w:t>
            </w:r>
            <w:r>
              <w:rPr>
                <w:rFonts w:eastAsia="Calibri"/>
                <w:sz w:val="24"/>
                <w:szCs w:val="24"/>
              </w:rPr>
              <w:lastRenderedPageBreak/>
              <w:t>округа</w:t>
            </w:r>
            <w:r w:rsidR="00C7172E" w:rsidRPr="00C7172E">
              <w:rPr>
                <w:rFonts w:eastAsia="Calibri"/>
                <w:sz w:val="24"/>
                <w:szCs w:val="24"/>
              </w:rPr>
              <w:t>: постановлению Правительства Свердловской области от 28.06.2012 № 703-ПП «Об утверждении Порядка разработки и принятия административных регламентов осуществления муниципального контроля на территории Свердловской области».</w:t>
            </w:r>
          </w:p>
        </w:tc>
      </w:tr>
      <w:tr w:rsidR="001E05C0" w:rsidRPr="0020275E" w:rsidTr="001D3ACC">
        <w:tc>
          <w:tcPr>
            <w:tcW w:w="623" w:type="dxa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lastRenderedPageBreak/>
              <w:t>8.</w:t>
            </w:r>
          </w:p>
        </w:tc>
        <w:tc>
          <w:tcPr>
            <w:tcW w:w="9300" w:type="dxa"/>
            <w:gridSpan w:val="11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1E05C0" w:rsidRPr="0020275E" w:rsidTr="001D3ACC">
        <w:trPr>
          <w:trHeight w:val="1621"/>
        </w:trPr>
        <w:tc>
          <w:tcPr>
            <w:tcW w:w="9923" w:type="dxa"/>
            <w:gridSpan w:val="12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8.1. Описание предлагаемого способа решения проблемы и преодоления связанных с ней негативных эффектов: </w:t>
            </w:r>
            <w:r w:rsidR="00C7172E">
              <w:rPr>
                <w:rFonts w:eastAsia="Calibri"/>
                <w:sz w:val="24"/>
                <w:szCs w:val="24"/>
              </w:rPr>
              <w:t>Принятие данного НПА</w:t>
            </w:r>
          </w:p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 (место для текстового описания)</w:t>
            </w:r>
          </w:p>
        </w:tc>
      </w:tr>
      <w:tr w:rsidR="001E05C0" w:rsidRPr="0020275E" w:rsidTr="001D3ACC">
        <w:tc>
          <w:tcPr>
            <w:tcW w:w="623" w:type="dxa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9300" w:type="dxa"/>
            <w:gridSpan w:val="11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1E05C0" w:rsidRPr="0020275E" w:rsidTr="001D3ACC">
        <w:tc>
          <w:tcPr>
            <w:tcW w:w="3042" w:type="dxa"/>
            <w:gridSpan w:val="4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9.1. Группа участников отношений:</w:t>
            </w:r>
          </w:p>
          <w:p w:rsidR="00826D18" w:rsidRPr="008B3F71" w:rsidRDefault="00826D18" w:rsidP="00826D18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9.1.1.</w:t>
            </w:r>
            <w:r w:rsidRPr="002558E7"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  <w:t xml:space="preserve"> Администрация </w:t>
            </w:r>
            <w:proofErr w:type="spellStart"/>
            <w:r w:rsidRPr="002558E7"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  <w:t>Арамильского</w:t>
            </w:r>
            <w:proofErr w:type="spellEnd"/>
            <w:r w:rsidRPr="002558E7"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  <w:t xml:space="preserve"> городского округа</w:t>
            </w:r>
          </w:p>
          <w:p w:rsidR="00826D18" w:rsidRPr="002558E7" w:rsidRDefault="00826D18" w:rsidP="00826D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8B3F71">
              <w:rPr>
                <w:rFonts w:eastAsia="Calibri"/>
                <w:sz w:val="24"/>
                <w:szCs w:val="24"/>
              </w:rPr>
              <w:t>9.1.2.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01568">
              <w:rPr>
                <w:rFonts w:eastAsia="Calibri"/>
                <w:b/>
                <w:i/>
                <w:sz w:val="24"/>
                <w:szCs w:val="24"/>
              </w:rPr>
              <w:t>Ю</w:t>
            </w:r>
            <w:r w:rsidRPr="002558E7"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  <w:t>ридические лица</w:t>
            </w:r>
            <w:r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  <w:t xml:space="preserve">, </w:t>
            </w:r>
            <w:r w:rsidRPr="002558E7"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  <w:t>и индивидуальные предприниматели</w:t>
            </w:r>
            <w:r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  <w:t>, граждане</w:t>
            </w:r>
            <w:r w:rsidRPr="002558E7"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558E7"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  <w:t>Арамильского</w:t>
            </w:r>
            <w:proofErr w:type="spellEnd"/>
          </w:p>
          <w:p w:rsidR="00826D18" w:rsidRPr="008B3F71" w:rsidRDefault="00826D18" w:rsidP="00826D18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  <w:t>городского округа</w:t>
            </w:r>
          </w:p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81" w:type="dxa"/>
            <w:gridSpan w:val="8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9.2. Оценка количества участников отношений:</w:t>
            </w:r>
          </w:p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На стадии разработки акта:</w:t>
            </w:r>
          </w:p>
          <w:p w:rsidR="00826D18" w:rsidRPr="008B3F71" w:rsidRDefault="00826D18" w:rsidP="00826D18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9.2.1.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44C5B">
              <w:rPr>
                <w:b/>
                <w:i/>
                <w:sz w:val="24"/>
                <w:szCs w:val="24"/>
              </w:rPr>
              <w:t xml:space="preserve">Администрация </w:t>
            </w:r>
            <w:proofErr w:type="spellStart"/>
            <w:r w:rsidRPr="00844C5B">
              <w:rPr>
                <w:b/>
                <w:i/>
                <w:sz w:val="24"/>
                <w:szCs w:val="24"/>
              </w:rPr>
              <w:t>Арамильского</w:t>
            </w:r>
            <w:proofErr w:type="spellEnd"/>
            <w:r w:rsidRPr="00844C5B">
              <w:rPr>
                <w:b/>
                <w:i/>
                <w:sz w:val="24"/>
                <w:szCs w:val="24"/>
              </w:rPr>
              <w:t xml:space="preserve"> городского округа, Комитет по управлению имуществом </w:t>
            </w:r>
            <w:proofErr w:type="spellStart"/>
            <w:r w:rsidRPr="00844C5B">
              <w:rPr>
                <w:b/>
                <w:i/>
                <w:sz w:val="24"/>
                <w:szCs w:val="24"/>
              </w:rPr>
              <w:t>Арамильского</w:t>
            </w:r>
            <w:proofErr w:type="spellEnd"/>
            <w:r w:rsidRPr="00844C5B">
              <w:rPr>
                <w:b/>
                <w:i/>
                <w:sz w:val="24"/>
                <w:szCs w:val="24"/>
              </w:rPr>
              <w:t xml:space="preserve"> городского округа, юридические лица и индивидуальные предприниматели</w:t>
            </w:r>
            <w:r>
              <w:rPr>
                <w:b/>
                <w:i/>
                <w:sz w:val="24"/>
                <w:szCs w:val="24"/>
              </w:rPr>
              <w:t>, граждане</w:t>
            </w:r>
          </w:p>
          <w:p w:rsidR="00826D18" w:rsidRPr="008B3F71" w:rsidRDefault="00826D18" w:rsidP="00826D18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9.3. После введения предлагаемого регулирования:</w:t>
            </w:r>
          </w:p>
          <w:p w:rsidR="00826D18" w:rsidRPr="008B3F71" w:rsidRDefault="00826D18" w:rsidP="00826D18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9.3.</w:t>
            </w:r>
            <w:r>
              <w:rPr>
                <w:rFonts w:eastAsia="Calibri"/>
                <w:sz w:val="24"/>
                <w:szCs w:val="24"/>
              </w:rPr>
              <w:t xml:space="preserve">1. </w:t>
            </w:r>
            <w:r w:rsidRPr="00844C5B">
              <w:rPr>
                <w:b/>
                <w:i/>
                <w:sz w:val="24"/>
                <w:szCs w:val="24"/>
              </w:rPr>
              <w:t xml:space="preserve">Комитет по управлению муниципальным имуществом </w:t>
            </w:r>
            <w:proofErr w:type="spellStart"/>
            <w:r w:rsidRPr="00844C5B">
              <w:rPr>
                <w:b/>
                <w:i/>
                <w:sz w:val="24"/>
                <w:szCs w:val="24"/>
              </w:rPr>
              <w:t>Арамильского</w:t>
            </w:r>
            <w:proofErr w:type="spellEnd"/>
            <w:r w:rsidRPr="00844C5B">
              <w:rPr>
                <w:b/>
                <w:i/>
                <w:sz w:val="24"/>
                <w:szCs w:val="24"/>
              </w:rPr>
              <w:t xml:space="preserve"> городского округа, юридические лица и индивидуальные предприниматели</w:t>
            </w:r>
            <w:r>
              <w:rPr>
                <w:b/>
                <w:i/>
                <w:sz w:val="24"/>
                <w:szCs w:val="24"/>
              </w:rPr>
              <w:t>, граждане</w:t>
            </w:r>
          </w:p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E05C0" w:rsidRPr="0020275E" w:rsidTr="001D3ACC">
        <w:tc>
          <w:tcPr>
            <w:tcW w:w="9923" w:type="dxa"/>
            <w:gridSpan w:val="12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9.3. Источники данных: </w:t>
            </w:r>
            <w:r w:rsidR="00826D18">
              <w:rPr>
                <w:rFonts w:eastAsia="Calibri"/>
                <w:sz w:val="24"/>
                <w:szCs w:val="24"/>
              </w:rPr>
              <w:t>отсутствуют</w:t>
            </w:r>
          </w:p>
        </w:tc>
      </w:tr>
      <w:tr w:rsidR="001E05C0" w:rsidRPr="0020275E" w:rsidTr="001D3ACC">
        <w:tc>
          <w:tcPr>
            <w:tcW w:w="623" w:type="dxa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9300" w:type="dxa"/>
            <w:gridSpan w:val="11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1E05C0" w:rsidRPr="0020275E" w:rsidTr="001D3ACC">
        <w:tc>
          <w:tcPr>
            <w:tcW w:w="3042" w:type="dxa"/>
            <w:gridSpan w:val="4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10.1. Риски решения проблемы предложенным способом и риски негативных последствий:</w:t>
            </w:r>
          </w:p>
        </w:tc>
        <w:tc>
          <w:tcPr>
            <w:tcW w:w="1985" w:type="dxa"/>
            <w:gridSpan w:val="3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10.2. Оценки вероятности наступления рисков:</w:t>
            </w:r>
          </w:p>
        </w:tc>
        <w:tc>
          <w:tcPr>
            <w:tcW w:w="2835" w:type="dxa"/>
            <w:gridSpan w:val="4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10.3. Методы контроля эффективности избранного способа достижения целей регулирования:</w:t>
            </w:r>
          </w:p>
        </w:tc>
        <w:tc>
          <w:tcPr>
            <w:tcW w:w="2061" w:type="dxa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10.4. Степень контроля рисков:</w:t>
            </w:r>
          </w:p>
        </w:tc>
      </w:tr>
      <w:tr w:rsidR="001E05C0" w:rsidRPr="0020275E" w:rsidTr="001D3ACC">
        <w:trPr>
          <w:trHeight w:val="483"/>
        </w:trPr>
        <w:tc>
          <w:tcPr>
            <w:tcW w:w="3042" w:type="dxa"/>
            <w:gridSpan w:val="4"/>
          </w:tcPr>
          <w:p w:rsidR="001E05C0" w:rsidRPr="0020275E" w:rsidRDefault="00826D18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отсутствуют</w:t>
            </w:r>
          </w:p>
        </w:tc>
        <w:tc>
          <w:tcPr>
            <w:tcW w:w="1985" w:type="dxa"/>
            <w:gridSpan w:val="3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2061" w:type="dxa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1E05C0" w:rsidRPr="0020275E" w:rsidTr="001D3ACC">
        <w:tc>
          <w:tcPr>
            <w:tcW w:w="623" w:type="dxa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9300" w:type="dxa"/>
            <w:gridSpan w:val="11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Необходимые для достижения заявленных целей регулирования организационно - технические, методологические, информационные и иные мероприятия</w:t>
            </w:r>
          </w:p>
        </w:tc>
      </w:tr>
      <w:tr w:rsidR="001E05C0" w:rsidRPr="0020275E" w:rsidTr="001D3ACC">
        <w:tc>
          <w:tcPr>
            <w:tcW w:w="2552" w:type="dxa"/>
            <w:gridSpan w:val="3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11.1. Мероприятия, необходимые для достижения целей регулирования</w:t>
            </w:r>
          </w:p>
        </w:tc>
        <w:tc>
          <w:tcPr>
            <w:tcW w:w="1134" w:type="dxa"/>
            <w:gridSpan w:val="3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11.2. Сроки</w:t>
            </w:r>
          </w:p>
        </w:tc>
        <w:tc>
          <w:tcPr>
            <w:tcW w:w="1843" w:type="dxa"/>
            <w:gridSpan w:val="2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11.3. Описание ожидаемого результата</w:t>
            </w:r>
          </w:p>
        </w:tc>
        <w:tc>
          <w:tcPr>
            <w:tcW w:w="2191" w:type="dxa"/>
            <w:gridSpan w:val="2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11.4. Объем финансирования</w:t>
            </w:r>
          </w:p>
        </w:tc>
        <w:tc>
          <w:tcPr>
            <w:tcW w:w="2203" w:type="dxa"/>
            <w:gridSpan w:val="2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11.5. Источник финансирования</w:t>
            </w:r>
          </w:p>
        </w:tc>
      </w:tr>
      <w:tr w:rsidR="001E05C0" w:rsidRPr="0020275E" w:rsidTr="001D3ACC">
        <w:tc>
          <w:tcPr>
            <w:tcW w:w="2552" w:type="dxa"/>
            <w:gridSpan w:val="3"/>
          </w:tcPr>
          <w:p w:rsidR="00826D18" w:rsidRPr="00B22A84" w:rsidRDefault="00826D18" w:rsidP="00826D18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B22A84">
              <w:rPr>
                <w:rFonts w:eastAsia="Calibri"/>
                <w:b/>
                <w:i/>
                <w:sz w:val="24"/>
                <w:szCs w:val="24"/>
              </w:rPr>
              <w:t xml:space="preserve">Опубликование утвержденного </w:t>
            </w:r>
            <w:r w:rsidRPr="00B22A84">
              <w:rPr>
                <w:rFonts w:eastAsia="Calibri"/>
                <w:b/>
                <w:i/>
                <w:sz w:val="24"/>
                <w:szCs w:val="24"/>
              </w:rPr>
              <w:lastRenderedPageBreak/>
              <w:t>постановления в газете «</w:t>
            </w:r>
            <w:proofErr w:type="spellStart"/>
            <w:r w:rsidRPr="00B22A84">
              <w:rPr>
                <w:rFonts w:eastAsia="Calibri"/>
                <w:b/>
                <w:i/>
                <w:sz w:val="24"/>
                <w:szCs w:val="24"/>
              </w:rPr>
              <w:t>Арамильские</w:t>
            </w:r>
            <w:proofErr w:type="spellEnd"/>
            <w:r w:rsidRPr="00B22A84">
              <w:rPr>
                <w:rFonts w:eastAsia="Calibri"/>
                <w:b/>
                <w:i/>
                <w:sz w:val="24"/>
                <w:szCs w:val="24"/>
              </w:rPr>
              <w:t xml:space="preserve"> вести» и размещение на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B22A84">
              <w:rPr>
                <w:rFonts w:eastAsia="Calibri"/>
                <w:b/>
                <w:i/>
                <w:sz w:val="24"/>
                <w:szCs w:val="24"/>
              </w:rPr>
              <w:t xml:space="preserve">официальном сайте </w:t>
            </w:r>
            <w:proofErr w:type="spellStart"/>
            <w:r w:rsidRPr="00B22A84">
              <w:rPr>
                <w:rFonts w:eastAsia="Calibri"/>
                <w:b/>
                <w:i/>
                <w:sz w:val="24"/>
                <w:szCs w:val="24"/>
              </w:rPr>
              <w:t>Арамильского</w:t>
            </w:r>
            <w:proofErr w:type="spellEnd"/>
            <w:r w:rsidRPr="00B22A84">
              <w:rPr>
                <w:rFonts w:eastAsia="Calibri"/>
                <w:b/>
                <w:i/>
                <w:sz w:val="24"/>
                <w:szCs w:val="24"/>
              </w:rPr>
              <w:t xml:space="preserve"> городского округа </w:t>
            </w:r>
            <w:r w:rsidRPr="00B22A84"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  <w:t>в</w:t>
            </w:r>
            <w:r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B22A84"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  <w:t>информационно-</w:t>
            </w:r>
          </w:p>
          <w:p w:rsidR="001E05C0" w:rsidRPr="0020275E" w:rsidRDefault="00826D18" w:rsidP="00826D18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22A84"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  <w:t>телекоммуникационной сети</w:t>
            </w:r>
            <w:r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B22A84"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  <w:t>«Интернет»</w:t>
            </w:r>
          </w:p>
        </w:tc>
        <w:tc>
          <w:tcPr>
            <w:tcW w:w="1134" w:type="dxa"/>
            <w:gridSpan w:val="3"/>
          </w:tcPr>
          <w:p w:rsidR="001E05C0" w:rsidRPr="00826D18" w:rsidRDefault="00826D18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</w:rPr>
            </w:pPr>
            <w:r w:rsidRPr="00826D18">
              <w:rPr>
                <w:rFonts w:eastAsia="Calibri"/>
                <w:b/>
                <w:i/>
                <w:sz w:val="24"/>
                <w:szCs w:val="24"/>
              </w:rPr>
              <w:lastRenderedPageBreak/>
              <w:t>Август 2019</w:t>
            </w:r>
          </w:p>
        </w:tc>
        <w:tc>
          <w:tcPr>
            <w:tcW w:w="1843" w:type="dxa"/>
            <w:gridSpan w:val="2"/>
          </w:tcPr>
          <w:p w:rsidR="001E05C0" w:rsidRPr="0020275E" w:rsidRDefault="00826D18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D22BF">
              <w:rPr>
                <w:rFonts w:eastAsia="Calibri"/>
                <w:b/>
                <w:i/>
                <w:sz w:val="24"/>
                <w:szCs w:val="24"/>
              </w:rPr>
              <w:t xml:space="preserve">Информирование </w:t>
            </w:r>
            <w:r w:rsidRPr="006D22BF">
              <w:rPr>
                <w:rFonts w:eastAsia="Calibri"/>
                <w:b/>
                <w:i/>
                <w:sz w:val="24"/>
                <w:szCs w:val="24"/>
              </w:rPr>
              <w:lastRenderedPageBreak/>
              <w:t>заинтересованных лиц</w:t>
            </w:r>
          </w:p>
        </w:tc>
        <w:tc>
          <w:tcPr>
            <w:tcW w:w="2191" w:type="dxa"/>
            <w:gridSpan w:val="2"/>
          </w:tcPr>
          <w:p w:rsidR="001E05C0" w:rsidRPr="00826D18" w:rsidRDefault="00826D18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</w:rPr>
            </w:pPr>
            <w:r w:rsidRPr="00826D18">
              <w:rPr>
                <w:rFonts w:eastAsia="Calibri"/>
                <w:b/>
                <w:i/>
                <w:sz w:val="24"/>
                <w:szCs w:val="24"/>
              </w:rPr>
              <w:lastRenderedPageBreak/>
              <w:t>Не предусмотрено</w:t>
            </w:r>
          </w:p>
        </w:tc>
        <w:tc>
          <w:tcPr>
            <w:tcW w:w="2203" w:type="dxa"/>
            <w:gridSpan w:val="2"/>
          </w:tcPr>
          <w:p w:rsidR="001E05C0" w:rsidRPr="00826D18" w:rsidRDefault="00826D18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</w:rPr>
            </w:pPr>
            <w:r w:rsidRPr="00826D18">
              <w:rPr>
                <w:rFonts w:eastAsia="Calibri"/>
                <w:b/>
                <w:i/>
                <w:sz w:val="24"/>
                <w:szCs w:val="24"/>
              </w:rPr>
              <w:t>Не предусмотрено</w:t>
            </w:r>
          </w:p>
        </w:tc>
      </w:tr>
      <w:tr w:rsidR="001E05C0" w:rsidRPr="0020275E" w:rsidTr="001D3ACC">
        <w:tc>
          <w:tcPr>
            <w:tcW w:w="709" w:type="dxa"/>
            <w:gridSpan w:val="2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9214" w:type="dxa"/>
            <w:gridSpan w:val="10"/>
          </w:tcPr>
          <w:p w:rsidR="001E05C0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Оценка позитивных и негативных эффектов для общества при введении предлагаемого регулирования: </w:t>
            </w:r>
          </w:p>
          <w:p w:rsidR="00826D18" w:rsidRPr="00B77347" w:rsidRDefault="00826D18" w:rsidP="00826D18">
            <w:pPr>
              <w:pStyle w:val="a4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Положительный эффект при утверждении Административного регламента: информирование заинтересованных лиц, выдача предостережений о недопустимости нарушения обязательных требований земельного законодательства.</w:t>
            </w:r>
          </w:p>
          <w:p w:rsidR="00826D18" w:rsidRPr="00826D18" w:rsidRDefault="00826D18" w:rsidP="00826D18">
            <w:pPr>
              <w:pStyle w:val="a4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26D18">
              <w:rPr>
                <w:rFonts w:eastAsia="Calibri"/>
                <w:b/>
                <w:i/>
                <w:sz w:val="24"/>
                <w:szCs w:val="24"/>
              </w:rPr>
              <w:t>Негативные эффекты при утверждении порядка: отсутствуют</w:t>
            </w:r>
          </w:p>
        </w:tc>
      </w:tr>
      <w:tr w:rsidR="001E05C0" w:rsidRPr="0020275E" w:rsidTr="001D3ACC">
        <w:tc>
          <w:tcPr>
            <w:tcW w:w="9923" w:type="dxa"/>
            <w:gridSpan w:val="12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13. Сведения о размещении уведомления о подготовке проекта акта (заполняется в случае, если по проекту акта проведена предварительная оценка регулирующего воздействия)</w:t>
            </w:r>
          </w:p>
        </w:tc>
      </w:tr>
      <w:tr w:rsidR="001E05C0" w:rsidRPr="0020275E" w:rsidTr="001D3ACC">
        <w:tc>
          <w:tcPr>
            <w:tcW w:w="9923" w:type="dxa"/>
            <w:gridSpan w:val="12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14. Сведения о проведении публичных консультаций</w:t>
            </w:r>
          </w:p>
        </w:tc>
      </w:tr>
      <w:tr w:rsidR="001E05C0" w:rsidRPr="0020275E" w:rsidTr="001D3ACC">
        <w:tc>
          <w:tcPr>
            <w:tcW w:w="9923" w:type="dxa"/>
            <w:gridSpan w:val="12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14.1. Сведения об организациях, извещенных о проведении публичных консультаций: организации, заключившие соглашение о сотрудничестве при проведении ОРВ</w:t>
            </w:r>
            <w:r w:rsidR="00826D18">
              <w:rPr>
                <w:rFonts w:eastAsia="Calibri"/>
                <w:sz w:val="24"/>
                <w:szCs w:val="24"/>
              </w:rPr>
              <w:t xml:space="preserve">: </w:t>
            </w:r>
            <w:r w:rsidR="00826D18" w:rsidRPr="00826D18">
              <w:rPr>
                <w:rFonts w:eastAsia="Calibri"/>
                <w:b/>
                <w:sz w:val="24"/>
                <w:szCs w:val="24"/>
              </w:rPr>
              <w:t>Свердловский областной Союз промышленников и предпринимателей</w:t>
            </w:r>
          </w:p>
        </w:tc>
      </w:tr>
      <w:tr w:rsidR="001E05C0" w:rsidRPr="0020275E" w:rsidTr="001D3ACC">
        <w:tc>
          <w:tcPr>
            <w:tcW w:w="9923" w:type="dxa"/>
            <w:gridSpan w:val="12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14.2. Статистика предложений, поступивших по итогам публичных консультаций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20275E">
              <w:rPr>
                <w:rFonts w:eastAsia="Calibri"/>
                <w:sz w:val="24"/>
                <w:szCs w:val="24"/>
              </w:rPr>
              <w:t xml:space="preserve">Общее количество поступивших предложений по проекту акта: </w:t>
            </w:r>
            <w:r w:rsidR="00826D18">
              <w:rPr>
                <w:rFonts w:eastAsia="Calibri"/>
                <w:sz w:val="24"/>
                <w:szCs w:val="24"/>
              </w:rPr>
              <w:t>1</w:t>
            </w:r>
          </w:p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Из них:</w:t>
            </w:r>
          </w:p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Мнений о поддержке акта: </w:t>
            </w:r>
            <w:r w:rsidR="00826D18">
              <w:rPr>
                <w:rFonts w:eastAsia="Calibri"/>
                <w:sz w:val="24"/>
                <w:szCs w:val="24"/>
              </w:rPr>
              <w:t>1</w:t>
            </w:r>
          </w:p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Количество учтенных предложений: </w:t>
            </w:r>
            <w:r w:rsidR="00826D18">
              <w:rPr>
                <w:rFonts w:eastAsia="Calibri"/>
                <w:sz w:val="24"/>
                <w:szCs w:val="24"/>
              </w:rPr>
              <w:t>9</w:t>
            </w:r>
          </w:p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Количество частично учтенных предложений: </w:t>
            </w:r>
            <w:r w:rsidR="00826D18">
              <w:rPr>
                <w:rFonts w:eastAsia="Calibri"/>
                <w:sz w:val="24"/>
                <w:szCs w:val="24"/>
              </w:rPr>
              <w:t>6</w:t>
            </w:r>
          </w:p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Количество неучтенных предложений: </w:t>
            </w:r>
            <w:r w:rsidR="00826D18">
              <w:rPr>
                <w:rFonts w:eastAsia="Calibri"/>
                <w:sz w:val="24"/>
                <w:szCs w:val="24"/>
              </w:rPr>
              <w:t>3</w:t>
            </w:r>
          </w:p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Общее количество поступивших предложений по сопроводительным документам: (место для текстового описания), из них учтено: (место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0275E">
              <w:rPr>
                <w:rFonts w:eastAsia="Calibri"/>
                <w:sz w:val="24"/>
                <w:szCs w:val="24"/>
              </w:rPr>
              <w:t>для текстового описания), не учтено: (место для текстового описания).</w:t>
            </w:r>
          </w:p>
        </w:tc>
      </w:tr>
      <w:tr w:rsidR="001E05C0" w:rsidRPr="0020275E" w:rsidTr="001D3ACC">
        <w:tc>
          <w:tcPr>
            <w:tcW w:w="9923" w:type="dxa"/>
            <w:gridSpan w:val="12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14.3. Устраненные в ходе подготовки и обсуждения проекта акта административные барьеры и избыточные издержки: </w:t>
            </w:r>
            <w:r w:rsidR="00F904D2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1E05C0" w:rsidRPr="0020275E" w:rsidTr="001D3ACC">
        <w:tc>
          <w:tcPr>
            <w:tcW w:w="9923" w:type="dxa"/>
            <w:gridSpan w:val="12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15. Выводы о целесообразности предлагаемого регулирования</w:t>
            </w:r>
          </w:p>
        </w:tc>
      </w:tr>
      <w:tr w:rsidR="001E05C0" w:rsidRPr="0020275E" w:rsidTr="001D3ACC">
        <w:tc>
          <w:tcPr>
            <w:tcW w:w="9923" w:type="dxa"/>
            <w:gridSpan w:val="12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15.1. Оценка позитивных и негативных эффектов для общества при введении предлагаемого регулирования: </w:t>
            </w:r>
            <w:r w:rsidR="00F904D2">
              <w:rPr>
                <w:rFonts w:eastAsia="Calibri"/>
                <w:sz w:val="24"/>
                <w:szCs w:val="24"/>
              </w:rPr>
              <w:t>негативные эффекты отсутствуют</w:t>
            </w:r>
          </w:p>
        </w:tc>
      </w:tr>
      <w:tr w:rsidR="001E05C0" w:rsidRPr="0020275E" w:rsidTr="001D3ACC">
        <w:tc>
          <w:tcPr>
            <w:tcW w:w="9923" w:type="dxa"/>
            <w:gridSpan w:val="12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15.2. Источники данных: (место для текстового описания)</w:t>
            </w:r>
          </w:p>
        </w:tc>
      </w:tr>
      <w:tr w:rsidR="001E05C0" w:rsidRPr="0020275E" w:rsidTr="001D3ACC">
        <w:tc>
          <w:tcPr>
            <w:tcW w:w="9923" w:type="dxa"/>
            <w:gridSpan w:val="12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15.3. Вывод о наличии либо об отсутствии в итоговой редакции проекта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</w:t>
            </w:r>
            <w:r w:rsidRPr="0020275E">
              <w:rPr>
                <w:rFonts w:eastAsia="Calibri"/>
                <w:sz w:val="24"/>
                <w:szCs w:val="24"/>
              </w:rPr>
              <w:lastRenderedPageBreak/>
              <w:t xml:space="preserve">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бюджетов всех уровней бюджетной системы Российской Федерации: </w:t>
            </w:r>
            <w:r w:rsidR="00F904D2">
              <w:rPr>
                <w:rFonts w:eastAsia="Calibri"/>
                <w:sz w:val="24"/>
                <w:szCs w:val="24"/>
              </w:rPr>
              <w:t>отсутствуют</w:t>
            </w:r>
          </w:p>
        </w:tc>
      </w:tr>
    </w:tbl>
    <w:p w:rsidR="001E05C0" w:rsidRPr="00931A71" w:rsidRDefault="001E05C0" w:rsidP="001E05C0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E05C0" w:rsidRPr="00931A71" w:rsidRDefault="001E05C0" w:rsidP="001E05C0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</w:rPr>
      </w:pPr>
      <w:bookmarkStart w:id="2" w:name="P450"/>
      <w:bookmarkEnd w:id="2"/>
    </w:p>
    <w:p w:rsidR="001E05C0" w:rsidRPr="005A1ED0" w:rsidRDefault="001E05C0" w:rsidP="001E05C0">
      <w:pPr>
        <w:suppressAutoHyphens/>
        <w:autoSpaceDE w:val="0"/>
        <w:autoSpaceDN w:val="0"/>
        <w:adjustRightInd w:val="0"/>
        <w:ind w:hanging="567"/>
        <w:jc w:val="both"/>
        <w:rPr>
          <w:rFonts w:eastAsia="Calibri"/>
          <w:sz w:val="26"/>
          <w:szCs w:val="26"/>
        </w:rPr>
      </w:pPr>
      <w:r w:rsidRPr="005A1ED0">
        <w:rPr>
          <w:rFonts w:eastAsia="Calibri"/>
          <w:sz w:val="26"/>
          <w:szCs w:val="26"/>
        </w:rPr>
        <w:t>Приложение: Сводка предложений с указанием сведений об их учете или причинах отклонения. (Указание (при наличии) на иные приложения).</w:t>
      </w:r>
    </w:p>
    <w:p w:rsidR="001E05C0" w:rsidRPr="005A1ED0" w:rsidRDefault="001E05C0" w:rsidP="001E05C0">
      <w:pPr>
        <w:suppressAutoHyphens/>
        <w:autoSpaceDE w:val="0"/>
        <w:autoSpaceDN w:val="0"/>
        <w:adjustRightInd w:val="0"/>
        <w:ind w:hanging="567"/>
        <w:jc w:val="both"/>
        <w:rPr>
          <w:rFonts w:eastAsia="Calibri"/>
          <w:sz w:val="26"/>
          <w:szCs w:val="26"/>
        </w:rPr>
      </w:pPr>
    </w:p>
    <w:p w:rsidR="00F904D2" w:rsidRDefault="00F904D2" w:rsidP="00F904D2">
      <w:pPr>
        <w:suppressAutoHyphens/>
        <w:autoSpaceDE w:val="0"/>
        <w:autoSpaceDN w:val="0"/>
        <w:adjustRightInd w:val="0"/>
        <w:ind w:hanging="426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</w:t>
      </w:r>
      <w:proofErr w:type="spellStart"/>
      <w:r w:rsidRPr="00F904D2">
        <w:rPr>
          <w:rFonts w:eastAsia="Calibri"/>
          <w:b/>
          <w:sz w:val="26"/>
          <w:szCs w:val="26"/>
        </w:rPr>
        <w:t>Живилов</w:t>
      </w:r>
      <w:proofErr w:type="spellEnd"/>
      <w:r w:rsidRPr="00F904D2">
        <w:rPr>
          <w:rFonts w:eastAsia="Calibri"/>
          <w:b/>
          <w:sz w:val="26"/>
          <w:szCs w:val="26"/>
        </w:rPr>
        <w:t xml:space="preserve"> Д.М.</w:t>
      </w:r>
      <w:r>
        <w:rPr>
          <w:rFonts w:eastAsia="Calibri"/>
          <w:b/>
          <w:sz w:val="26"/>
          <w:szCs w:val="26"/>
        </w:rPr>
        <w:t xml:space="preserve">                                    14.08.2019</w:t>
      </w:r>
    </w:p>
    <w:p w:rsidR="001E05C0" w:rsidRPr="00F904D2" w:rsidRDefault="00F904D2" w:rsidP="00F904D2">
      <w:pPr>
        <w:suppressAutoHyphens/>
        <w:autoSpaceDE w:val="0"/>
        <w:autoSpaceDN w:val="0"/>
        <w:adjustRightInd w:val="0"/>
        <w:ind w:hanging="426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</w:t>
      </w:r>
      <w:r w:rsidR="001E05C0" w:rsidRPr="005A1ED0">
        <w:rPr>
          <w:rFonts w:eastAsia="Calibri"/>
          <w:sz w:val="26"/>
          <w:szCs w:val="26"/>
        </w:rPr>
        <w:t>______________________________</w:t>
      </w:r>
      <w:r w:rsidR="001E05C0" w:rsidRPr="005A1ED0">
        <w:rPr>
          <w:rFonts w:eastAsia="Calibri"/>
          <w:sz w:val="26"/>
          <w:szCs w:val="26"/>
        </w:rPr>
        <w:tab/>
        <w:t>____________</w:t>
      </w:r>
      <w:r w:rsidR="001E05C0" w:rsidRPr="005A1ED0">
        <w:rPr>
          <w:rFonts w:eastAsia="Calibri"/>
          <w:sz w:val="26"/>
          <w:szCs w:val="26"/>
        </w:rPr>
        <w:tab/>
        <w:t>________________</w:t>
      </w:r>
    </w:p>
    <w:p w:rsidR="001E05C0" w:rsidRPr="005A1ED0" w:rsidRDefault="001E05C0" w:rsidP="001E05C0">
      <w:pPr>
        <w:suppressAutoHyphens/>
        <w:autoSpaceDE w:val="0"/>
        <w:autoSpaceDN w:val="0"/>
        <w:adjustRightInd w:val="0"/>
        <w:ind w:hanging="426"/>
        <w:jc w:val="both"/>
        <w:rPr>
          <w:rFonts w:eastAsia="Calibri"/>
          <w:sz w:val="26"/>
          <w:szCs w:val="26"/>
        </w:rPr>
      </w:pPr>
      <w:r w:rsidRPr="005A1ED0">
        <w:rPr>
          <w:rFonts w:eastAsia="Calibri"/>
          <w:sz w:val="26"/>
          <w:szCs w:val="26"/>
        </w:rPr>
        <w:tab/>
        <w:t>(инициалы, фамилия)</w:t>
      </w:r>
      <w:r w:rsidRPr="005A1ED0">
        <w:rPr>
          <w:rFonts w:eastAsia="Calibri"/>
          <w:sz w:val="26"/>
          <w:szCs w:val="26"/>
        </w:rPr>
        <w:tab/>
      </w:r>
      <w:r w:rsidRPr="005A1ED0">
        <w:rPr>
          <w:rFonts w:eastAsia="Calibri"/>
          <w:sz w:val="26"/>
          <w:szCs w:val="26"/>
        </w:rPr>
        <w:tab/>
      </w:r>
      <w:r w:rsidRPr="005A1ED0">
        <w:rPr>
          <w:rFonts w:eastAsia="Calibri"/>
          <w:sz w:val="26"/>
          <w:szCs w:val="26"/>
        </w:rPr>
        <w:tab/>
      </w:r>
      <w:r w:rsidRPr="005A1ED0">
        <w:rPr>
          <w:rFonts w:eastAsia="Calibri"/>
          <w:sz w:val="26"/>
          <w:szCs w:val="26"/>
        </w:rPr>
        <w:tab/>
        <w:t xml:space="preserve">    Дата</w:t>
      </w:r>
      <w:r w:rsidRPr="005A1ED0">
        <w:rPr>
          <w:rFonts w:eastAsia="Calibri"/>
          <w:sz w:val="26"/>
          <w:szCs w:val="26"/>
        </w:rPr>
        <w:tab/>
      </w:r>
      <w:r w:rsidRPr="005A1ED0">
        <w:rPr>
          <w:rFonts w:eastAsia="Calibri"/>
          <w:sz w:val="26"/>
          <w:szCs w:val="26"/>
        </w:rPr>
        <w:tab/>
        <w:t xml:space="preserve">        Подпись</w:t>
      </w:r>
    </w:p>
    <w:p w:rsidR="001E05C0" w:rsidRPr="005A1ED0" w:rsidRDefault="001E05C0" w:rsidP="001E05C0">
      <w:pPr>
        <w:suppressAutoHyphens/>
        <w:rPr>
          <w:sz w:val="26"/>
          <w:szCs w:val="26"/>
        </w:rPr>
      </w:pPr>
    </w:p>
    <w:p w:rsidR="00183D95" w:rsidRPr="005A1ED0" w:rsidRDefault="00183D95" w:rsidP="00183D95">
      <w:pPr>
        <w:suppressAutoHyphens/>
        <w:rPr>
          <w:sz w:val="26"/>
          <w:szCs w:val="26"/>
        </w:rPr>
      </w:pPr>
    </w:p>
    <w:p w:rsidR="00183D95" w:rsidRDefault="00183D95" w:rsidP="00183D95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B0416" w:rsidRDefault="000B0416"/>
    <w:sectPr w:rsidR="000B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1399C"/>
    <w:multiLevelType w:val="hybridMultilevel"/>
    <w:tmpl w:val="39747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71EF0"/>
    <w:multiLevelType w:val="hybridMultilevel"/>
    <w:tmpl w:val="39747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8E5"/>
    <w:rsid w:val="000636B6"/>
    <w:rsid w:val="000B0416"/>
    <w:rsid w:val="001300F8"/>
    <w:rsid w:val="00183D95"/>
    <w:rsid w:val="00187D68"/>
    <w:rsid w:val="001A6CED"/>
    <w:rsid w:val="001D1096"/>
    <w:rsid w:val="001E05C0"/>
    <w:rsid w:val="003A44EB"/>
    <w:rsid w:val="0049315A"/>
    <w:rsid w:val="004A54BF"/>
    <w:rsid w:val="005B7A4C"/>
    <w:rsid w:val="007D1804"/>
    <w:rsid w:val="008266C0"/>
    <w:rsid w:val="00826D18"/>
    <w:rsid w:val="00886661"/>
    <w:rsid w:val="0099239D"/>
    <w:rsid w:val="00B67E84"/>
    <w:rsid w:val="00BD28E5"/>
    <w:rsid w:val="00C7172E"/>
    <w:rsid w:val="00DC12CF"/>
    <w:rsid w:val="00F9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DBF8A"/>
  <w15:chartTrackingRefBased/>
  <w15:docId w15:val="{7D11A789-26EC-4438-9DCE-603695FB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3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3D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183D9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7A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00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00F8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Unresolved Mention"/>
    <w:basedOn w:val="a0"/>
    <w:uiPriority w:val="99"/>
    <w:semiHidden/>
    <w:unhideWhenUsed/>
    <w:rsid w:val="00C717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amilgo.ru" TargetMode="External"/><Relationship Id="rId5" Type="http://schemas.openxmlformats.org/officeDocument/2006/relationships/hyperlink" Target="http://www.regulation.midur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Замятина Ирина Владимировна</dc:creator>
  <cp:keywords/>
  <dc:description/>
  <cp:lastModifiedBy>Семеновская Олеся Геннадьевна</cp:lastModifiedBy>
  <cp:revision>19</cp:revision>
  <cp:lastPrinted>2019-08-14T06:24:00Z</cp:lastPrinted>
  <dcterms:created xsi:type="dcterms:W3CDTF">2018-10-04T05:19:00Z</dcterms:created>
  <dcterms:modified xsi:type="dcterms:W3CDTF">2019-08-14T06:25:00Z</dcterms:modified>
</cp:coreProperties>
</file>