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Id="R58892A3D" Type="http://schemas.openxmlformats.org/officeDocument/2006/relationships/officeDocument" Target="/word/document.xml" /><Relationship Id="coreR58892A3D" Type="http://schemas.openxmlformats.org/package/2006/relationships/metadata/core-properties" Target="/docProps/core.xml" /><Relationship Id="customR58892A3D" Type="http://schemas.openxmlformats.org/officeDocument/2006/relationships/custom-properties" Target="/docProps/custom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ackground w:color="FFFFFF"/>
  <w:body>
    <w:p>
      <w:pPr>
        <w:spacing w:lineRule="exact" w:line="150"/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>
        <w:gridCol w:w="285"/>
        <w:gridCol w:w="8790"/>
      </w:tblGrid>
      <w:tr>
        <w:trPr>
          <w:trHeight w:hRule="atLeast" w:val="375"/>
        </w:trPr>
        <w:tc>
          <w:tcPr>
            <w:tcW w:w="285" w:type="dxa"/>
          </w:tcPr>
          <w:p>
            <w:pPr>
              <w:rPr>
                <w:rStyle w:val="C3"/>
              </w:rPr>
            </w:pPr>
          </w:p>
        </w:tc>
        <w:tc>
          <w:tcPr>
            <w:tcW w:w="8790" w:type="dxa"/>
            <w:shd w:val="clear" w:color="auto" w:fill="auto"/>
            <w:vAlign w:val="top"/>
          </w:tcPr>
          <w:p>
            <w:pPr>
              <w:pStyle w:val="P1"/>
              <w:rPr>
                <w:rStyle w:val="C4"/>
                <w:rtl w:val="0"/>
              </w:rPr>
            </w:pPr>
            <w:r>
              <w:rPr>
                <w:rStyle w:val="C4"/>
                <w:rtl w:val="0"/>
              </w:rPr>
              <w:t>ПАСПОРТ</w:t>
            </w:r>
          </w:p>
        </w:tc>
      </w:tr>
      <w:tr>
        <w:trPr>
          <w:trHeight w:hRule="atLeast" w:val="375"/>
        </w:trPr>
        <w:tc>
          <w:tcPr>
            <w:tcW w:w="285" w:type="dxa"/>
          </w:tcPr>
          <w:p>
            <w:pPr>
              <w:rPr>
                <w:rStyle w:val="C3"/>
              </w:rPr>
            </w:pPr>
          </w:p>
        </w:tc>
        <w:tc>
          <w:tcPr>
            <w:tcW w:w="8790" w:type="dxa"/>
            <w:shd w:val="clear" w:color="auto" w:fill="auto"/>
            <w:vAlign w:val="top"/>
          </w:tcPr>
          <w:p>
            <w:pPr>
              <w:pStyle w:val="P1"/>
              <w:rPr>
                <w:rStyle w:val="C4"/>
                <w:rtl w:val="0"/>
              </w:rPr>
            </w:pPr>
            <w:r>
              <w:rPr>
                <w:rStyle w:val="C4"/>
                <w:rtl w:val="0"/>
              </w:rPr>
              <w:t>муниципальной программы</w:t>
            </w:r>
          </w:p>
        </w:tc>
      </w:tr>
      <w:tr>
        <w:trPr>
          <w:trHeight w:hRule="atLeast" w:val="990"/>
        </w:trPr>
        <w:tc>
          <w:tcPr>
            <w:tcW w:w="285" w:type="dxa"/>
          </w:tcPr>
          <w:p>
            <w:pPr>
              <w:rPr>
                <w:rStyle w:val="C3"/>
              </w:rPr>
            </w:pPr>
          </w:p>
        </w:tc>
        <w:tc>
          <w:tcPr>
            <w:tcW w:w="8790" w:type="dxa"/>
            <w:shd w:val="clear" w:color="auto" w:fill="auto"/>
            <w:vAlign w:val="top"/>
          </w:tcPr>
          <w:p>
            <w:pPr>
              <w:pStyle w:val="P1"/>
              <w:rPr>
                <w:rStyle w:val="C4"/>
                <w:rtl w:val="0"/>
              </w:rPr>
            </w:pPr>
            <w:r>
              <w:rPr>
                <w:rStyle w:val="C4"/>
                <w:rtl w:val="0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</w:p>
        </w:tc>
      </w:tr>
    </w:tbl>
    <w:p>
      <w:pPr>
        <w:spacing w:lineRule="exact" w:line="765"/>
        <w:rPr>
          <w:rtl w:val="0"/>
        </w:r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>
        <w:gridCol w:w="285"/>
        <w:gridCol w:w="3255"/>
        <w:gridCol w:w="885"/>
        <w:gridCol w:w="4650"/>
      </w:tblGrid>
      <w:tr>
        <w:trPr>
          <w:trHeight w:hRule="atLeast" w:val="133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"/>
              <w:rPr>
                <w:rStyle w:val="C5"/>
                <w:rtl w:val="0"/>
              </w:rPr>
            </w:pPr>
            <w:r>
              <w:rPr>
                <w:rStyle w:val="C5"/>
                <w:rtl w:val="0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3"/>
              <w:rPr>
                <w:rStyle w:val="C6"/>
                <w:rtl w:val="0"/>
              </w:rPr>
            </w:pPr>
            <w:r>
              <w:rPr>
                <w:rStyle w:val="C6"/>
                <w:rtl w:val="0"/>
              </w:rPr>
              <w:t>Администрация Арамильского городского округа</w:t>
            </w:r>
          </w:p>
        </w:tc>
      </w:tr>
      <w:tr>
        <w:trPr>
          <w:trHeight w:hRule="atLeast" w:val="100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"/>
              <w:rPr>
                <w:rStyle w:val="C5"/>
                <w:rtl w:val="0"/>
              </w:rPr>
            </w:pPr>
            <w:r>
              <w:rPr>
                <w:rStyle w:val="C5"/>
                <w:rtl w:val="0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4"/>
              <w:rPr>
                <w:rStyle w:val="C7"/>
                <w:rtl w:val="0"/>
              </w:rPr>
            </w:pPr>
            <w:r>
              <w:rPr>
                <w:rStyle w:val="C7"/>
                <w:rtl w:val="0"/>
              </w:rPr>
              <w:t>2024 -</w:t>
            </w:r>
          </w:p>
        </w:tc>
        <w:tc>
          <w:tcPr>
            <w:tcW w:w="465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3"/>
              <w:rPr>
                <w:rStyle w:val="C6"/>
                <w:rtl w:val="0"/>
              </w:rPr>
            </w:pPr>
            <w:r>
              <w:rPr>
                <w:rStyle w:val="C6"/>
                <w:rtl w:val="0"/>
              </w:rPr>
              <w:t>2027 годы</w:t>
            </w:r>
          </w:p>
        </w:tc>
      </w:tr>
      <w:tr>
        <w:trPr>
          <w:trHeight w:hRule="atLeast" w:val="100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"/>
              <w:rPr>
                <w:rStyle w:val="C5"/>
                <w:rtl w:val="0"/>
              </w:rPr>
            </w:pPr>
            <w:r>
              <w:rPr>
                <w:rStyle w:val="C5"/>
                <w:rtl w:val="0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3"/>
              <w:rPr>
                <w:rStyle w:val="C6"/>
                <w:rtl w:val="0"/>
              </w:rPr>
            </w:pPr>
            <w:r>
              <w:rPr>
                <w:rStyle w:val="C6"/>
                <w:rtl w:val="0"/>
              </w:rPr>
              <w:t>Цель 1. Обеспечение комплексного развития коммунальной инфраструктуры на территории Арамильского городского округа</w:t>
            </w:r>
          </w:p>
        </w:tc>
      </w:tr>
      <w:tr>
        <w:trPr>
          <w:trHeight w:hRule="atLeast" w:val="67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1.1. Развитие системы теплоснабжения</w:t>
            </w:r>
          </w:p>
        </w:tc>
      </w:tr>
      <w:tr>
        <w:trPr>
          <w:trHeight w:hRule="atLeast" w:val="67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1.2. Развитие системы водоснабжения и водоотведения</w:t>
            </w:r>
          </w:p>
        </w:tc>
      </w:tr>
      <w:tr>
        <w:trPr>
          <w:trHeight w:hRule="atLeast" w:val="67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1.3. Развитие системы электроснабжения</w:t>
            </w:r>
          </w:p>
        </w:tc>
      </w:tr>
      <w:tr>
        <w:trPr>
          <w:trHeight w:hRule="atLeast" w:val="13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1.4. Обеспечение мероприятий по осуществлению технического обследования и актуализации схем теплоснабжения, водоснабжения, водоотведения</w:t>
            </w:r>
          </w:p>
        </w:tc>
      </w:tr>
      <w:tr>
        <w:trPr>
          <w:trHeight w:hRule="atLeast" w:val="67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1.5. Снижение задолженности за топливно-энергетические ресурсы</w:t>
            </w:r>
          </w:p>
        </w:tc>
      </w:tr>
      <w:tr>
        <w:trPr>
          <w:trHeight w:hRule="atLeast" w:val="13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1.6. Содействие в предоставлении гражданам, проживающим на территории Арамильского городского округа, мер социальной поддержки</w:t>
            </w:r>
          </w:p>
        </w:tc>
      </w:tr>
      <w:tr>
        <w:trPr>
          <w:trHeight w:hRule="atLeast" w:val="99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7"/>
              <w:rPr>
                <w:rStyle w:val="C10"/>
                <w:rtl w:val="0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Цель 2. Обеспечение рационального и безопасного природопользования на территории Арамильского городского округа</w:t>
            </w:r>
          </w:p>
        </w:tc>
      </w:tr>
    </w:tbl>
    <w:p>
      <w:pPr>
        <w:rPr>
          <w:rtl w:val="0"/>
        </w:rPr>
        <w:sectPr>
          <w:headerReference xmlns:r="http://schemas.openxmlformats.org/officeDocument/2006/relationships" w:type="default" r:id="RelHdr1"/>
          <w:footerReference xmlns:r="http://schemas.openxmlformats.org/officeDocument/2006/relationships" w:type="default" r:id="RelFtr1"/>
          <w:type w:val="nextPage"/>
          <w:pgMar w:left="1440" w:right="1440" w:top="950" w:bottom="1440" w:header="0" w:footer="0" w:gutter="0"/>
        </w:sect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>
        <w:gridCol w:w="285"/>
        <w:gridCol w:w="3255"/>
        <w:gridCol w:w="5535"/>
      </w:tblGrid>
      <w:tr>
        <w:trPr>
          <w:trHeight w:hRule="atLeast" w:val="13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2.1. Реализация мероприятий в сфере обращения с твердыми коммунальными отходами и особо опасными отходами на территории Арамильского городского округа</w:t>
            </w:r>
          </w:p>
        </w:tc>
      </w:tr>
      <w:tr>
        <w:trPr>
          <w:trHeight w:hRule="atLeast" w:val="100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2.2. Озеленение территории, уход за зелеными насаждениями на территории Арамильского городского округа</w:t>
            </w:r>
          </w:p>
        </w:tc>
      </w:tr>
      <w:tr>
        <w:trPr>
          <w:trHeight w:hRule="atLeast" w:val="163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2.3. Поддержание санитарного состояния Арамильского водохранилища и источников нецентрализованного водоснабжения на территории Арамильского городского округа</w:t>
            </w:r>
          </w:p>
        </w:tc>
      </w:tr>
      <w:tr>
        <w:trPr>
          <w:trHeight w:hRule="atLeast" w:val="67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2.4. Обеспечение деятельности по обращению с животными без владельцев</w:t>
            </w:r>
          </w:p>
        </w:tc>
      </w:tr>
      <w:tr>
        <w:trPr>
          <w:trHeight w:hRule="atLeast" w:val="13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2.5. Проведение мероприятий по обеспечению противоэпидемического благополучия на территории Арамильского городского округа</w:t>
            </w:r>
          </w:p>
        </w:tc>
      </w:tr>
      <w:tr>
        <w:trPr>
          <w:trHeight w:hRule="atLeast" w:val="163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7"/>
              <w:rPr>
                <w:rStyle w:val="C10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Цель 3. Повышение энергетической эффективности использования энергетических ресурсов на объектах всех форм собственности на территории Арамильского городского округа</w:t>
            </w:r>
          </w:p>
        </w:tc>
      </w:tr>
      <w:tr>
        <w:trPr>
          <w:trHeight w:hRule="atLeast" w:val="13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3.1. Обеспечение энергосбережения и повышение энергоэффективности объектов бюджетной сферы, жилищного фонда Арамильского городского округа</w:t>
            </w:r>
          </w:p>
        </w:tc>
      </w:tr>
      <w:tr>
        <w:trPr>
          <w:trHeight w:hRule="atLeast" w:val="13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3.2. Обеспечение энергосбережения и повышение энергоэффективности систем коммунальной инфраструктуры Арамильского городского округа</w:t>
            </w:r>
          </w:p>
        </w:tc>
      </w:tr>
      <w:tr>
        <w:trPr>
          <w:trHeight w:hRule="atLeast" w:val="13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3.3. Обеспечение информирования населения и организаций по энергосбережению и повышению энергетической эффектвиности</w:t>
            </w:r>
          </w:p>
        </w:tc>
      </w:tr>
      <w:tr>
        <w:trPr>
          <w:trHeight w:hRule="atLeast" w:val="130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7"/>
              <w:rPr>
                <w:rStyle w:val="C10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Цель 4. Содержание территории общего пользования Арамильского городского округа и расположенных на ней объектов в надлежащем состоянии</w:t>
            </w:r>
          </w:p>
        </w:tc>
      </w:tr>
    </w:tbl>
    <w:p>
      <w:pPr>
        <w:rPr>
          <w:rtl w:val="0"/>
        </w:rPr>
        <w:sectPr>
          <w:headerReference xmlns:r="http://schemas.openxmlformats.org/officeDocument/2006/relationships" w:type="default" r:id="RelHdr2"/>
          <w:footerReference xmlns:r="http://schemas.openxmlformats.org/officeDocument/2006/relationships" w:type="default" r:id="RelFtr2"/>
          <w:type w:val="nextPage"/>
          <w:pgMar w:left="1440" w:right="1440" w:top="950" w:bottom="1440" w:header="0" w:footer="0" w:gutter="0"/>
        </w:sect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>
        <w:gridCol w:w="285"/>
        <w:gridCol w:w="3255"/>
        <w:gridCol w:w="5535"/>
      </w:tblGrid>
      <w:tr>
        <w:trPr>
          <w:trHeight w:hRule="atLeast" w:val="165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Задача 4.1. Организация и поддержание оптимального функционального и эстетического состояния мест общего пользования на территории Арамильского городского округа</w:t>
            </w:r>
          </w:p>
        </w:tc>
      </w:tr>
      <w:tr>
        <w:trPr>
          <w:trHeight w:hRule="atLeast" w:val="133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"/>
              <w:rPr>
                <w:rStyle w:val="C5"/>
                <w:rtl w:val="0"/>
              </w:rPr>
            </w:pPr>
            <w:r>
              <w:rPr>
                <w:rStyle w:val="C5"/>
                <w:rtl w:val="0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3"/>
              <w:rPr>
                <w:rStyle w:val="C6"/>
                <w:rtl w:val="0"/>
              </w:rPr>
            </w:pPr>
            <w:r>
              <w:rPr>
                <w:rStyle w:val="C6"/>
                <w:rtl w:val="0"/>
              </w:rPr>
              <w:t>1. Развитие коммунальной инфраструктуры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7"/>
              <w:rPr>
                <w:rStyle w:val="C10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2. Чистая среда</w:t>
            </w:r>
          </w:p>
        </w:tc>
      </w:tr>
      <w:tr>
        <w:trPr>
          <w:trHeight w:hRule="atLeast" w:val="6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7"/>
              <w:rPr>
                <w:rStyle w:val="C10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3. Энергосбережение и повышение энергетической эффективности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7"/>
              <w:rPr>
                <w:rStyle w:val="C10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4. Благоустройство территории</w:t>
            </w:r>
          </w:p>
        </w:tc>
      </w:tr>
      <w:tr>
        <w:trPr>
          <w:trHeight w:hRule="atLeast" w:val="136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8"/>
              <w:rPr>
                <w:rStyle w:val="C11"/>
                <w:rtl w:val="0"/>
              </w:rPr>
            </w:pPr>
            <w:r>
              <w:rPr>
                <w:rStyle w:val="C11"/>
                <w:rtl w:val="0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9"/>
              <w:rPr>
                <w:rStyle w:val="C12"/>
                <w:rtl w:val="0"/>
              </w:rPr>
            </w:pPr>
            <w:r>
              <w:rPr>
                <w:rStyle w:val="C12"/>
                <w:rtl w:val="0"/>
              </w:rPr>
              <w:t>1. Протяженность отремонтированных сетей теплоснабжения</w:t>
            </w:r>
          </w:p>
        </w:tc>
      </w:tr>
      <w:tr>
        <w:trPr>
          <w:trHeight w:hRule="atLeast" w:val="133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2. Количество проведенных технических обследований, проведенных актуализаций схем водоснабжения, водоотведения и теплоснабжения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3. Количество построенных котельных</w:t>
            </w:r>
          </w:p>
        </w:tc>
      </w:tr>
      <w:tr>
        <w:trPr>
          <w:trHeight w:hRule="atLeast" w:val="69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4. Количество проектов, разработанных в сфере ЖКХ</w:t>
            </w:r>
          </w:p>
        </w:tc>
      </w:tr>
      <w:tr>
        <w:trPr>
          <w:trHeight w:hRule="atLeast" w:val="166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5. Количество исполнителей коммунальных услуг, которым возмещались затраты, связанные с предоставлением гражданам мер социальной поддержки</w:t>
            </w:r>
          </w:p>
        </w:tc>
      </w:tr>
      <w:tr>
        <w:trPr>
          <w:trHeight w:hRule="atLeast" w:val="10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6. Доля модернизированных контейнерных площадок для твердых коммунальных отходов от их общего количества</w:t>
            </w:r>
          </w:p>
        </w:tc>
      </w:tr>
      <w:tr>
        <w:trPr>
          <w:trHeight w:hRule="atLeast" w:val="100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7. Доля ликвидированных несанкционированных навалов мусора от общего их количества</w:t>
            </w:r>
          </w:p>
        </w:tc>
      </w:tr>
    </w:tbl>
    <w:p>
      <w:pPr>
        <w:rPr>
          <w:rtl w:val="0"/>
        </w:rPr>
        <w:sectPr>
          <w:headerReference xmlns:r="http://schemas.openxmlformats.org/officeDocument/2006/relationships" w:type="default" r:id="RelHdr3"/>
          <w:footerReference xmlns:r="http://schemas.openxmlformats.org/officeDocument/2006/relationships" w:type="default" r:id="RelFtr3"/>
          <w:type w:val="nextPage"/>
          <w:pgMar w:left="1440" w:right="1440" w:top="950" w:bottom="1440" w:header="0" w:footer="0" w:gutter="0"/>
        </w:sect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>
        <w:gridCol w:w="285"/>
        <w:gridCol w:w="3255"/>
        <w:gridCol w:w="5535"/>
      </w:tblGrid>
      <w:tr>
        <w:trPr>
          <w:trHeight w:hRule="atLeast" w:val="199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8. 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</w:p>
        </w:tc>
      </w:tr>
      <w:tr>
        <w:trPr>
          <w:trHeight w:hRule="atLeast" w:val="10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9. Доля освоенных денежных средств от уплаченной восстановительной стоимости за снос зеленых насаждений</w:t>
            </w:r>
          </w:p>
        </w:tc>
      </w:tr>
      <w:tr>
        <w:trPr>
          <w:trHeight w:hRule="atLeast" w:val="69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10. Количество</w:t>
              <w:tab/>
              <w:t xml:space="preserve"> обращений</w:t>
              <w:tab/>
              <w:t xml:space="preserve"> жителей по санитарной обрезке деревьев</w:t>
            </w:r>
          </w:p>
        </w:tc>
      </w:tr>
      <w:tr>
        <w:trPr>
          <w:trHeight w:hRule="atLeast" w:val="100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11. Доля загрязняющих веществ при мониторинге водохранилища в сравнении с установленными нормами</w:t>
            </w:r>
          </w:p>
        </w:tc>
      </w:tr>
      <w:tr>
        <w:trPr>
          <w:trHeight w:hRule="atLeast" w:val="69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12. Количество обращений жителей по отлову животных без владельцев (собак)</w:t>
            </w:r>
          </w:p>
        </w:tc>
      </w:tr>
      <w:tr>
        <w:trPr>
          <w:trHeight w:hRule="atLeast" w:val="100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13. Площадь</w:t>
              <w:tab/>
              <w:t>территорий, охваченных дератизацией дезинсекцией, акарицидной обработкой</w:t>
            </w:r>
          </w:p>
        </w:tc>
      </w:tr>
      <w:tr>
        <w:trPr>
          <w:trHeight w:hRule="atLeast" w:val="10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14. Доля населения, получившего информацию о состоянии окружающей среды</w:t>
            </w:r>
          </w:p>
        </w:tc>
      </w:tr>
      <w:tr>
        <w:trPr>
          <w:trHeight w:hRule="atLeast" w:val="166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15. Доля населения, принявших участие в мероприятиях по наведению чистоты и порядка к общему числу жителей, проживающих на территории Арамильского городского округа</w:t>
            </w:r>
          </w:p>
        </w:tc>
      </w:tr>
      <w:tr>
        <w:trPr>
          <w:trHeight w:hRule="atLeast" w:val="168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16. Доля муниципальных учреждений, в которых проведены работы из минимального перечня видов работ капитального ремонта зданий бюджетной сферы</w:t>
            </w:r>
          </w:p>
        </w:tc>
      </w:tr>
      <w:tr>
        <w:trPr>
          <w:trHeight w:hRule="atLeast" w:val="133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17. Доля снижения потребления электрической энергии уличной городской электрической сети в рамках энергосервисного контракта</w:t>
            </w:r>
          </w:p>
        </w:tc>
      </w:tr>
    </w:tbl>
    <w:p>
      <w:pPr>
        <w:rPr>
          <w:rtl w:val="0"/>
        </w:rPr>
        <w:sectPr>
          <w:headerReference xmlns:r="http://schemas.openxmlformats.org/officeDocument/2006/relationships" w:type="default" r:id="RelHdr4"/>
          <w:footerReference xmlns:r="http://schemas.openxmlformats.org/officeDocument/2006/relationships" w:type="default" r:id="RelFtr4"/>
          <w:type w:val="nextPage"/>
          <w:pgMar w:left="1440" w:right="1440" w:top="950" w:bottom="1440" w:header="0" w:footer="0" w:gutter="0"/>
        </w:sect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>
        <w:gridCol w:w="285"/>
        <w:gridCol w:w="3255"/>
        <w:gridCol w:w="5535"/>
      </w:tblGrid>
      <w:tr>
        <w:trPr>
          <w:trHeight w:hRule="atLeast" w:val="199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18. Количество публикаций в средствах массовой информации, в социальных сетях, на официальном сайте по информированию населения и предприятий по энергосбережению и энергоэффективности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"/>
              <w:rPr>
                <w:rStyle w:val="C5"/>
                <w:rtl w:val="0"/>
              </w:rPr>
            </w:pPr>
            <w:r>
              <w:rPr>
                <w:rStyle w:val="C5"/>
                <w:rtl w:val="0"/>
              </w:rPr>
              <w:t>Обьем финансирования</w:t>
            </w:r>
          </w:p>
        </w:tc>
        <w:tc>
          <w:tcPr>
            <w:tcW w:w="553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3"/>
              <w:rPr>
                <w:rStyle w:val="C6"/>
                <w:rtl w:val="0"/>
              </w:rPr>
            </w:pPr>
            <w:r>
              <w:rPr>
                <w:rStyle w:val="C6"/>
                <w:rtl w:val="0"/>
              </w:rPr>
              <w:t>ВСЕГО: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7"/>
              <w:rPr>
                <w:rStyle w:val="C10"/>
                <w:rtl w:val="0"/>
              </w:rPr>
            </w:pPr>
            <w:r>
              <w:rPr>
                <w:rStyle w:val="C10"/>
                <w:rtl w:val="0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1 257 112,9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7"/>
              <w:rPr>
                <w:rStyle w:val="C10"/>
                <w:rtl w:val="0"/>
              </w:rPr>
            </w:pPr>
            <w:r>
              <w:rPr>
                <w:rStyle w:val="C10"/>
                <w:rtl w:val="0"/>
              </w:rPr>
              <w:t>программы по годам</w:t>
            </w: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в том числе:</w:t>
            </w:r>
          </w:p>
        </w:tc>
      </w:tr>
      <w:tr>
        <w:trPr>
          <w:trHeight w:hRule="atLeast" w:val="132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7"/>
              <w:rPr>
                <w:rStyle w:val="C10"/>
                <w:rtl w:val="0"/>
              </w:rPr>
            </w:pPr>
            <w:r>
              <w:rPr>
                <w:rStyle w:val="C10"/>
                <w:rtl w:val="0"/>
              </w:rPr>
              <w:t>реализации, тыс. рублей</w:t>
            </w: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 xml:space="preserve">2024 год - 240 781,1 тыс. рублей, </w:t>
              <w:br w:type="textWrapping"/>
              <w:t xml:space="preserve">2025 год - 383 688,2 тыс. рублей, </w:t>
              <w:br w:type="textWrapping"/>
              <w:t xml:space="preserve">2026 год - 332 744,4 тыс. рублей, </w:t>
              <w:br w:type="textWrapping"/>
              <w:t>2027 год - 299 899,2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5"/>
              <w:rPr>
                <w:rStyle w:val="C8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из них: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областной бюджет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>1 165,0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>в том числе:</w:t>
            </w:r>
          </w:p>
        </w:tc>
      </w:tr>
      <w:tr>
        <w:trPr>
          <w:trHeight w:hRule="atLeast" w:val="135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 xml:space="preserve">2024 год - 577,8 тыс. рублей, </w:t>
              <w:br w:type="textWrapping"/>
              <w:t xml:space="preserve">2025 год - 587,2 тыс. рублей, </w:t>
              <w:br w:type="textWrapping"/>
              <w:t xml:space="preserve">2026 год - 0,0 тыс. рублей, </w:t>
              <w:br w:type="textWrapping"/>
              <w:t>2027 год - 0,0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федеральный бюджет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>0,0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>в том числе:</w:t>
            </w:r>
          </w:p>
        </w:tc>
      </w:tr>
      <w:tr>
        <w:trPr>
          <w:trHeight w:hRule="atLeast" w:val="133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 xml:space="preserve">2024 год - 0,0 тыс. рублей, </w:t>
              <w:br w:type="textWrapping"/>
              <w:t xml:space="preserve">2025 год - 0,0 тыс. рублей, </w:t>
              <w:br w:type="textWrapping"/>
              <w:t xml:space="preserve">2026 год - 0,0 тыс. рублей, </w:t>
              <w:br w:type="textWrapping"/>
              <w:t>2027 год - 0,0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местный бюджет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>1 255 947,9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>в том числе:</w:t>
            </w:r>
          </w:p>
        </w:tc>
      </w:tr>
      <w:tr>
        <w:trPr>
          <w:trHeight w:hRule="atLeast" w:val="1335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 xml:space="preserve">2024 год - 240 203,3 тыс. рублей, </w:t>
              <w:br w:type="textWrapping"/>
              <w:t xml:space="preserve">2025 год - 383 101,0 тыс. рублей, </w:t>
              <w:br w:type="textWrapping"/>
              <w:t xml:space="preserve">2026 год - 332 744,4 тыс. рублей, </w:t>
              <w:br w:type="textWrapping"/>
              <w:t>2027 год - 299 899,2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внебюджетные источники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>0,0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>в том числе:</w:t>
            </w:r>
          </w:p>
        </w:tc>
      </w:tr>
    </w:tbl>
    <w:p>
      <w:pPr>
        <w:rPr>
          <w:rtl w:val="0"/>
        </w:rPr>
        <w:sectPr>
          <w:headerReference xmlns:r="http://schemas.openxmlformats.org/officeDocument/2006/relationships" w:type="default" r:id="RelHdr5"/>
          <w:footerReference xmlns:r="http://schemas.openxmlformats.org/officeDocument/2006/relationships" w:type="default" r:id="RelFtr5"/>
          <w:type w:val="nextPage"/>
          <w:pgMar w:left="1440" w:right="1440" w:top="950" w:bottom="1440" w:header="0" w:footer="0" w:gutter="0"/>
        </w:sect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>
        <w:gridCol w:w="285"/>
        <w:gridCol w:w="3255"/>
        <w:gridCol w:w="5535"/>
      </w:tblGrid>
      <w:tr>
        <w:trPr>
          <w:trHeight w:hRule="atLeast" w:val="135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 xml:space="preserve">2024 год - 0,0 тыс. рублей, </w:t>
              <w:br w:type="textWrapping"/>
              <w:t xml:space="preserve">2025 год - 0,0 тыс. рублей, </w:t>
              <w:br w:type="textWrapping"/>
              <w:t xml:space="preserve">2026 год - 0,0 тыс. рублей, </w:t>
              <w:br w:type="textWrapping"/>
              <w:t>2027 год - 0,0 тыс. рублей</w:t>
            </w: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8"/>
              <w:rPr>
                <w:rStyle w:val="C11"/>
                <w:rtl w:val="0"/>
              </w:rPr>
            </w:pPr>
            <w:r>
              <w:rPr>
                <w:rStyle w:val="C11"/>
                <w:rtl w:val="0"/>
              </w:rPr>
              <w:t>Адрес размещения</w:t>
            </w:r>
          </w:p>
        </w:tc>
        <w:tc>
          <w:tcPr>
            <w:tcW w:w="553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9"/>
              <w:rPr>
                <w:rStyle w:val="C12"/>
                <w:rtl w:val="0"/>
              </w:rPr>
            </w:pP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3"/>
              <w:rPr>
                <w:rStyle w:val="C16"/>
                <w:rtl w:val="0"/>
              </w:rPr>
            </w:pPr>
            <w:r>
              <w:rPr>
                <w:rStyle w:val="C16"/>
                <w:rtl w:val="0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4"/>
              <w:rPr>
                <w:rStyle w:val="C17"/>
                <w:rtl w:val="0"/>
              </w:rPr>
            </w:pP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3"/>
              <w:rPr>
                <w:rStyle w:val="C16"/>
                <w:rtl w:val="0"/>
              </w:rPr>
            </w:pPr>
            <w:r>
              <w:rPr>
                <w:rStyle w:val="C16"/>
                <w:rtl w:val="0"/>
              </w:rPr>
              <w:t>программы в</w:t>
            </w: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4"/>
              <w:rPr>
                <w:rStyle w:val="C17"/>
                <w:rtl w:val="0"/>
              </w:rPr>
            </w:pP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3"/>
              <w:rPr>
                <w:rStyle w:val="C16"/>
                <w:rtl w:val="0"/>
              </w:rPr>
            </w:pPr>
            <w:r>
              <w:rPr>
                <w:rStyle w:val="C16"/>
                <w:rtl w:val="0"/>
              </w:rPr>
              <w:t>информационно-</w:t>
            </w: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4"/>
              <w:rPr>
                <w:rStyle w:val="C17"/>
                <w:rtl w:val="0"/>
              </w:rPr>
            </w:pP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3"/>
              <w:rPr>
                <w:rStyle w:val="C16"/>
                <w:rtl w:val="0"/>
              </w:rPr>
            </w:pPr>
            <w:r>
              <w:rPr>
                <w:rStyle w:val="C16"/>
                <w:rtl w:val="0"/>
              </w:rPr>
              <w:t>-телекоммуникационной</w:t>
            </w:r>
          </w:p>
        </w:tc>
        <w:tc>
          <w:tcPr>
            <w:tcW w:w="5535" w:type="dxa"/>
            <w:tcBorders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4"/>
              <w:rPr>
                <w:rStyle w:val="C17"/>
                <w:rtl w:val="0"/>
              </w:rPr>
            </w:pPr>
          </w:p>
        </w:tc>
      </w:tr>
      <w:tr>
        <w:trPr>
          <w:trHeight w:hRule="atLeast" w:val="360"/>
        </w:trPr>
        <w:tc>
          <w:tcPr>
            <w:tcW w:w="285" w:type="dxa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3255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5"/>
              <w:rPr>
                <w:rStyle w:val="C18"/>
                <w:rtl w:val="0"/>
              </w:rPr>
            </w:pPr>
            <w:r>
              <w:rPr>
                <w:rStyle w:val="C18"/>
                <w:rtl w:val="0"/>
              </w:rPr>
              <w:t>сети Интернет</w:t>
            </w:r>
          </w:p>
        </w:tc>
        <w:tc>
          <w:tcPr>
            <w:tcW w:w="5535" w:type="dxa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6"/>
              <w:rPr>
                <w:rStyle w:val="C19"/>
                <w:rtl w:val="0"/>
              </w:rPr>
            </w:pPr>
          </w:p>
        </w:tc>
      </w:tr>
    </w:tbl>
    <w:p>
      <w:pPr>
        <w:spacing w:lineRule="exact" w:line="15"/>
        <w:rPr>
          <w:rtl w:val="0"/>
        </w:rPr>
      </w:pPr>
    </w:p>
    <w:sectPr>
      <w:headerReference xmlns:r="http://schemas.openxmlformats.org/officeDocument/2006/relationships" w:type="default" r:id="RelHdr6"/>
      <w:footerReference xmlns:r="http://schemas.openxmlformats.org/officeDocument/2006/relationships" w:type="default" r:id="RelFtr6"/>
      <w:type w:val="nextPage"/>
      <w:pgMar w:left="1440" w:right="1440" w:top="950" w:bottom="1440" w:header="0" w:footer="0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ftr>
</file>

<file path=word/footer4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ftr>
</file>

<file path=word/footer5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ftr>
</file>

<file path=word/footer6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hdr>
</file>

<file path=word/header4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hdr>
</file>

<file path=word/header5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hdr>
</file>

<file path=word/header6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rPr>
        <w:rStyle w:val="C3"/>
      </w:rPr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ompat>
    <w:doNotExpandShiftReturn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cs="Calibri" w:hAnsi="Calibri" w:eastAsia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</w:style>
  <w:style w:type="paragraph" w:styleId="P1">
    <w:name w:val="ParagraphStyle0"/>
    <w:hidden/>
    <w:pPr>
      <w:bidi w:val="0"/>
      <w:spacing w:before="0" w:after="0"/>
      <w:ind w:left="28" w:right="28"/>
      <w:jc w:val="center"/>
    </w:pPr>
  </w:style>
  <w:style w:type="paragraph" w:styleId="P2">
    <w:name w:val="ParagraphStyle1"/>
    <w:hidden/>
    <w:pPr>
      <w:bidi w:val="0"/>
      <w:spacing w:before="0" w:after="0"/>
      <w:ind w:left="28" w:right="28"/>
      <w:jc w:val="left"/>
    </w:pPr>
  </w:style>
  <w:style w:type="paragraph" w:styleId="P3">
    <w:name w:val="ParagraphStyle2"/>
    <w:hidden/>
    <w:pPr>
      <w:bidi w:val="0"/>
      <w:spacing w:before="0" w:after="0"/>
      <w:ind w:left="28" w:right="28"/>
      <w:jc w:val="left"/>
    </w:pPr>
  </w:style>
  <w:style w:type="paragraph" w:styleId="P4">
    <w:name w:val="ParagraphStyle3"/>
    <w:hidden/>
    <w:pPr>
      <w:bidi w:val="0"/>
      <w:spacing w:before="0" w:after="0"/>
      <w:ind w:left="28" w:right="28"/>
      <w:jc w:val="left"/>
    </w:pPr>
  </w:style>
  <w:style w:type="paragraph" w:styleId="P5">
    <w:name w:val="ParagraphStyle4"/>
    <w:hidden/>
    <w:pPr>
      <w:bidi w:val="0"/>
      <w:spacing w:before="0" w:after="0"/>
      <w:ind w:left="28" w:right="28"/>
      <w:jc w:val="left"/>
    </w:pPr>
  </w:style>
  <w:style w:type="paragraph" w:styleId="P6">
    <w:name w:val="ParagraphStyle5"/>
    <w:hidden/>
    <w:pPr>
      <w:bidi w:val="0"/>
      <w:spacing w:before="0" w:after="0"/>
      <w:ind w:left="28" w:right="28"/>
      <w:jc w:val="left"/>
    </w:pPr>
  </w:style>
  <w:style w:type="paragraph" w:styleId="P7">
    <w:name w:val="ParagraphStyle6"/>
    <w:hidden/>
    <w:pPr>
      <w:bidi w:val="0"/>
      <w:spacing w:before="0" w:after="0"/>
      <w:ind w:left="28" w:right="28"/>
      <w:jc w:val="left"/>
    </w:pPr>
  </w:style>
  <w:style w:type="paragraph" w:styleId="P8">
    <w:name w:val="ParagraphStyle7"/>
    <w:hidden/>
    <w:pPr>
      <w:bidi w:val="0"/>
      <w:spacing w:before="0" w:after="0"/>
      <w:ind w:left="115" w:right="0"/>
      <w:jc w:val="left"/>
    </w:pPr>
  </w:style>
  <w:style w:type="paragraph" w:styleId="P9">
    <w:name w:val="ParagraphStyle8"/>
    <w:hidden/>
    <w:pPr>
      <w:bidi w:val="0"/>
      <w:spacing w:before="0" w:after="0"/>
      <w:ind w:left="115" w:right="115"/>
      <w:jc w:val="both"/>
    </w:pPr>
  </w:style>
  <w:style w:type="paragraph" w:styleId="P10">
    <w:name w:val="ParagraphStyle9"/>
    <w:hidden/>
    <w:pPr>
      <w:bidi w:val="0"/>
      <w:spacing w:before="0" w:after="0"/>
      <w:ind w:left="115" w:right="0"/>
      <w:jc w:val="left"/>
    </w:pPr>
  </w:style>
  <w:style w:type="paragraph" w:styleId="P11">
    <w:name w:val="ParagraphStyle10"/>
    <w:hidden/>
    <w:pPr>
      <w:bidi w:val="0"/>
      <w:spacing w:before="0" w:after="0"/>
      <w:ind w:left="115" w:right="115"/>
      <w:jc w:val="both"/>
    </w:pPr>
  </w:style>
  <w:style w:type="paragraph" w:styleId="P12">
    <w:name w:val="ParagraphStyle11"/>
    <w:hidden/>
    <w:pPr>
      <w:bidi w:val="0"/>
      <w:spacing w:before="0" w:after="0"/>
      <w:ind w:left="115" w:right="0"/>
      <w:jc w:val="left"/>
    </w:pPr>
  </w:style>
  <w:style w:type="paragraph" w:styleId="P13">
    <w:name w:val="ParagraphStyle12"/>
    <w:hidden/>
    <w:pPr>
      <w:bidi w:val="0"/>
      <w:spacing w:before="0" w:after="0"/>
      <w:ind w:left="115" w:right="0"/>
      <w:jc w:val="left"/>
    </w:pPr>
  </w:style>
  <w:style w:type="paragraph" w:styleId="P14">
    <w:name w:val="ParagraphStyle13"/>
    <w:hidden/>
    <w:pPr>
      <w:bidi w:val="0"/>
      <w:spacing w:before="0" w:after="0"/>
      <w:ind w:left="115" w:right="0"/>
      <w:jc w:val="left"/>
    </w:pPr>
  </w:style>
  <w:style w:type="paragraph" w:styleId="P15">
    <w:name w:val="ParagraphStyle14"/>
    <w:hidden/>
    <w:pPr>
      <w:bidi w:val="0"/>
      <w:spacing w:before="0" w:after="0"/>
      <w:ind w:left="115" w:right="0"/>
      <w:jc w:val="left"/>
    </w:pPr>
  </w:style>
  <w:style w:type="paragraph" w:styleId="P16">
    <w:name w:val="ParagraphStyle15"/>
    <w:hidden/>
    <w:pPr>
      <w:bidi w:val="0"/>
      <w:spacing w:before="0" w:after="0"/>
      <w:ind w:left="115" w:right="0"/>
      <w:jc w:val="left"/>
    </w:pPr>
  </w:style>
  <w:style w:type="character" w:styleId="C0" w:default="1">
    <w:name w:val="Default Paragraph Font"/>
    <w:semiHidden/>
  </w:style>
  <w:style w:type="character" w:styleId="C1">
    <w:name w:val="Line Number"/>
    <w:basedOn w:val="C0"/>
    <w:semiHidden/>
  </w:style>
  <w:style w:type="character" w:styleId="C2">
    <w:name w:val="Hyperlink"/>
    <w:rPr>
      <w:color w:val="0000FF"/>
      <w:u w:val="single"/>
    </w:rPr>
  </w:style>
  <w:style w:type="character" w:styleId="C3">
    <w:name w:val="FakeCharacterStyle"/>
    <w:hidden/>
    <w:rPr>
      <w:sz w:val="1"/>
      <w:szCs w:val="1"/>
    </w:rPr>
  </w:style>
  <w:style w:type="character" w:styleId="C4">
    <w:name w:val="CharacterStyle0"/>
    <w:hidden/>
    <w:rPr>
      <w:rFonts w:ascii="Times New Roman" w:cs="Times New Roman" w:hAnsi="Times New Roman" w:eastAsia="Times New Roman"/>
      <w:b w:val="1"/>
      <w:i w:val="0"/>
      <w:strike w:val="0"/>
      <w:noProof w:val="1"/>
      <w:color w:val="000000"/>
      <w:sz w:val="28"/>
      <w:szCs w:val="28"/>
      <w:u w:val="none"/>
    </w:rPr>
  </w:style>
  <w:style w:type="character" w:styleId="C5">
    <w:name w:val="CharacterStyle1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6">
    <w:name w:val="CharacterStyle2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7">
    <w:name w:val="CharacterStyle3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8">
    <w:name w:val="CharacterStyle4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19"/>
      <w:szCs w:val="19"/>
      <w:u w:val="none"/>
    </w:rPr>
  </w:style>
  <w:style w:type="character" w:styleId="C9">
    <w:name w:val="CharacterStyle5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0">
    <w:name w:val="CharacterStyle6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1">
    <w:name w:val="CharacterStyle7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2">
    <w:name w:val="CharacterStyle8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3">
    <w:name w:val="CharacterStyle9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4">
    <w:name w:val="CharacterStyle10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5">
    <w:name w:val="CharacterStyle11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6">
    <w:name w:val="CharacterStyle12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7">
    <w:name w:val="CharacterStyle13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8">
    <w:name w:val="CharacterStyle14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character" w:styleId="C19">
    <w:name w:val="CharacterStyle15"/>
    <w:hidden/>
    <w:rPr>
      <w:rFonts w:ascii="Times New Roman" w:cs="Times New Roman" w:hAnsi="Times New Roman" w:eastAsia="Times New Roman"/>
      <w:b w:val="0"/>
      <w:i w:val="0"/>
      <w:strike w:val="0"/>
      <w:noProof w:val="1"/>
      <w:color w:val="000000"/>
      <w:sz w:val="28"/>
      <w:szCs w:val="28"/>
      <w:u w:val="non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Hdr4" Type="http://schemas.openxmlformats.org/officeDocument/2006/relationships/header" Target="header4.xml" /><Relationship Id="RelHdr5" Type="http://schemas.openxmlformats.org/officeDocument/2006/relationships/header" Target="header5.xml" /><Relationship Id="RelHdr6" Type="http://schemas.openxmlformats.org/officeDocument/2006/relationships/header" Target="header6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Ftr4" Type="http://schemas.openxmlformats.org/officeDocument/2006/relationships/footer" Target="footer4.xml" /><Relationship Id="RelFtr5" Type="http://schemas.openxmlformats.org/officeDocument/2006/relationships/footer" Target="footer5.xml" /><Relationship Id="RelFtr6" Type="http://schemas.openxmlformats.org/officeDocument/2006/relationships/footer" Target="footer6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/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DXVersion">
    <vt:lpwstr>21.2.3.0</vt:lpwstr>
  </property>
</Properties>
</file>