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30" w:rsidRPr="00CF7974" w:rsidRDefault="00336230" w:rsidP="00336230">
      <w:pPr>
        <w:widowControl w:val="0"/>
        <w:autoSpaceDE w:val="0"/>
        <w:autoSpaceDN w:val="0"/>
        <w:rPr>
          <w:sz w:val="28"/>
          <w:szCs w:val="28"/>
        </w:rPr>
      </w:pPr>
      <w:bookmarkStart w:id="0" w:name="_GoBack"/>
      <w:bookmarkEnd w:id="0"/>
      <w:r w:rsidRPr="00CF7974">
        <w:rPr>
          <w:sz w:val="28"/>
          <w:szCs w:val="28"/>
        </w:rPr>
        <w:t>Форма</w:t>
      </w:r>
    </w:p>
    <w:p w:rsidR="00336230" w:rsidRPr="00CF7974" w:rsidRDefault="00336230" w:rsidP="00336230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CF7974">
        <w:rPr>
          <w:b/>
          <w:sz w:val="28"/>
          <w:szCs w:val="28"/>
        </w:rPr>
        <w:t>Заключение</w:t>
      </w:r>
    </w:p>
    <w:p w:rsidR="00336230" w:rsidRPr="00CF7974" w:rsidRDefault="00336230" w:rsidP="00336230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CF7974">
        <w:rPr>
          <w:b/>
          <w:sz w:val="28"/>
          <w:szCs w:val="28"/>
        </w:rPr>
        <w:t xml:space="preserve">о результатах экспертизы нормативного правового акта </w:t>
      </w:r>
    </w:p>
    <w:p w:rsidR="00336230" w:rsidRPr="00CF7974" w:rsidRDefault="00336230" w:rsidP="00336230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  <w:r w:rsidRPr="0075745A">
        <w:rPr>
          <w:b/>
          <w:sz w:val="28"/>
          <w:szCs w:val="28"/>
        </w:rPr>
        <w:t>Администрации</w:t>
      </w:r>
      <w:r>
        <w:rPr>
          <w:b/>
          <w:sz w:val="28"/>
          <w:szCs w:val="28"/>
        </w:rPr>
        <w:t xml:space="preserve"> Арамильского </w:t>
      </w:r>
      <w:r w:rsidRPr="00CF7974">
        <w:rPr>
          <w:b/>
          <w:sz w:val="28"/>
          <w:szCs w:val="28"/>
        </w:rPr>
        <w:t xml:space="preserve">городского округа </w:t>
      </w:r>
    </w:p>
    <w:p w:rsidR="00336230" w:rsidRDefault="00336230" w:rsidP="00336230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6230" w:rsidRPr="007D2D30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 w:rsidRPr="007D2D30">
        <w:rPr>
          <w:b/>
          <w:sz w:val="28"/>
          <w:szCs w:val="28"/>
        </w:rPr>
        <w:t>1.</w:t>
      </w:r>
      <w:r w:rsidRPr="007D2D30">
        <w:rPr>
          <w:b/>
        </w:rPr>
        <w:tab/>
      </w:r>
      <w:r w:rsidRPr="007D2D30">
        <w:rPr>
          <w:b/>
          <w:sz w:val="28"/>
          <w:szCs w:val="28"/>
        </w:rPr>
        <w:t>Общая информация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1.1.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</w:pPr>
            <w:r w:rsidRPr="00524A71">
              <w:t>Основные реквизиты нормативного правого акта, в том числе вид, дата, номер, наименование, редакция, источник публикации:</w:t>
            </w:r>
          </w:p>
        </w:tc>
      </w:tr>
      <w:tr w:rsidR="00336230" w:rsidRPr="00BB249E" w:rsidTr="00522654">
        <w:tc>
          <w:tcPr>
            <w:tcW w:w="9624" w:type="dxa"/>
            <w:shd w:val="clear" w:color="auto" w:fill="auto"/>
          </w:tcPr>
          <w:p w:rsidR="00616C56" w:rsidRDefault="00616C56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616C56">
              <w:rPr>
                <w:i/>
              </w:rPr>
              <w:t>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Свердловской области транспортного средства, осуществляющего перевозки тяжеловесных и (или) крупногабаритных грузов»</w:t>
            </w:r>
            <w:r>
              <w:t xml:space="preserve"> </w:t>
            </w:r>
            <w:r w:rsidRPr="00616C56">
              <w:rPr>
                <w:i/>
              </w:rPr>
              <w:t>постановление Администрации Арамильского городского округа от 14.10.2013 № 421</w:t>
            </w:r>
          </w:p>
          <w:p w:rsidR="00336230" w:rsidRPr="00BB249E" w:rsidRDefault="00616C56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616C56">
              <w:rPr>
                <w:i/>
              </w:rPr>
              <w:t xml:space="preserve"> </w:t>
            </w:r>
            <w:r w:rsidR="00336230" w:rsidRPr="00BB249E">
              <w:rPr>
                <w:i/>
              </w:rPr>
              <w:t>(описание)</w:t>
            </w: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1.2.</w:t>
                  </w:r>
                </w:p>
              </w:tc>
            </w:tr>
          </w:tbl>
          <w:p w:rsidR="00336230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Дата вступления в силу нормативного правового акта и его отдельных положений:</w:t>
            </w:r>
          </w:p>
          <w:p w:rsidR="003C372D" w:rsidRPr="00524A71" w:rsidRDefault="003C372D" w:rsidP="00522654">
            <w:pPr>
              <w:widowControl w:val="0"/>
              <w:autoSpaceDE w:val="0"/>
              <w:autoSpaceDN w:val="0"/>
              <w:jc w:val="both"/>
            </w:pPr>
            <w:r>
              <w:t>14.10.2013</w:t>
            </w:r>
          </w:p>
        </w:tc>
      </w:tr>
      <w:tr w:rsidR="00336230" w:rsidRPr="00BB249E" w:rsidTr="00522654">
        <w:tc>
          <w:tcPr>
            <w:tcW w:w="9624" w:type="dxa"/>
            <w:shd w:val="clear" w:color="auto" w:fill="auto"/>
          </w:tcPr>
          <w:p w:rsidR="00336230" w:rsidRPr="00BB249E" w:rsidRDefault="00336230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(указать дату, ели положение вводятся в действие в разное время, указывается положение и дата)</w:t>
            </w: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1.3.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  <w:r w:rsidR="00616C56">
              <w:t xml:space="preserve"> </w:t>
            </w:r>
            <w:r w:rsidR="00616C56" w:rsidRPr="00616C56">
              <w:rPr>
                <w:b/>
              </w:rPr>
              <w:t>нет</w:t>
            </w:r>
          </w:p>
        </w:tc>
      </w:tr>
      <w:tr w:rsidR="00336230" w:rsidRPr="00BB249E" w:rsidTr="00522654">
        <w:tc>
          <w:tcPr>
            <w:tcW w:w="9624" w:type="dxa"/>
            <w:shd w:val="clear" w:color="auto" w:fill="auto"/>
          </w:tcPr>
          <w:p w:rsidR="00336230" w:rsidRPr="00BB249E" w:rsidRDefault="00336230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1.4.</w:t>
                  </w:r>
                </w:p>
              </w:tc>
            </w:tr>
          </w:tbl>
          <w:p w:rsidR="00336230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нормативного правового акта</w:t>
            </w:r>
          </w:p>
          <w:p w:rsidR="002C084D" w:rsidRPr="002C084D" w:rsidRDefault="002C084D" w:rsidP="00522654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2C084D">
              <w:rPr>
                <w:i/>
              </w:rPr>
              <w:t>Муниципальное бюджетное учреждение «Арамильская служба заказчика»</w:t>
            </w:r>
          </w:p>
        </w:tc>
      </w:tr>
      <w:tr w:rsidR="00336230" w:rsidRPr="00BB249E" w:rsidTr="00522654">
        <w:tc>
          <w:tcPr>
            <w:tcW w:w="9624" w:type="dxa"/>
            <w:shd w:val="clear" w:color="auto" w:fill="auto"/>
          </w:tcPr>
          <w:p w:rsidR="00336230" w:rsidRPr="00BB249E" w:rsidRDefault="00336230" w:rsidP="00FC59F3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1.5.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Сфера муниципального регулирования:</w:t>
            </w:r>
          </w:p>
        </w:tc>
      </w:tr>
      <w:tr w:rsidR="00336230" w:rsidRPr="00BB249E" w:rsidTr="00FC59F3">
        <w:trPr>
          <w:trHeight w:val="674"/>
        </w:trPr>
        <w:tc>
          <w:tcPr>
            <w:tcW w:w="9624" w:type="dxa"/>
            <w:shd w:val="clear" w:color="auto" w:fill="auto"/>
          </w:tcPr>
          <w:p w:rsidR="00336230" w:rsidRPr="002C084D" w:rsidRDefault="00FC59F3" w:rsidP="002C084D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>Муниципальная услуга в сфере осуществления перевозок  тяжеловесных и крупногабаритных грузов</w:t>
            </w: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1.6.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Проведение ОРВ в отношении проекта нормативного правового акта</w:t>
            </w:r>
          </w:p>
        </w:tc>
      </w:tr>
      <w:tr w:rsidR="00336230" w:rsidRPr="00524A71" w:rsidTr="00522654">
        <w:trPr>
          <w:trHeight w:val="4290"/>
        </w:trPr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56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1.6.1</w:t>
                  </w:r>
                </w:p>
              </w:tc>
            </w:tr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1.6.2.</w:t>
                  </w:r>
                </w:p>
              </w:tc>
            </w:tr>
          </w:tbl>
          <w:p w:rsidR="00336230" w:rsidRPr="00BB249E" w:rsidRDefault="00336230" w:rsidP="00522654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>
              <w:t>П</w:t>
            </w:r>
            <w:r w:rsidRPr="00524A71">
              <w:t xml:space="preserve">роводилось: </w:t>
            </w:r>
            <w:r w:rsidRPr="00BB249E">
              <w:rPr>
                <w:i/>
              </w:rPr>
              <w:t>нет</w:t>
            </w:r>
          </w:p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Степень регулирующего воздействия положений проекта нормативного правового акта:</w:t>
            </w:r>
          </w:p>
          <w:p w:rsidR="00336230" w:rsidRPr="00BB249E" w:rsidRDefault="00336230" w:rsidP="00522654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BB249E">
              <w:rPr>
                <w:i/>
              </w:rPr>
              <w:t>Высокая/средняя/низкая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1.6.3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Сроки проведения публичных консультаций проекта нормативного правового акта:</w:t>
            </w:r>
          </w:p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Начало: «</w:t>
            </w:r>
            <w:r w:rsidRPr="00524A71">
              <w:tab/>
              <w:t>»</w:t>
            </w:r>
            <w:r w:rsidRPr="00524A71">
              <w:tab/>
              <w:t>20__год;</w:t>
            </w:r>
          </w:p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Окончание: «</w:t>
            </w:r>
            <w:r w:rsidRPr="00524A71">
              <w:tab/>
              <w:t>»</w:t>
            </w:r>
            <w:r w:rsidRPr="00524A71">
              <w:tab/>
              <w:t>20__год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1.6.4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Разработчик проекта нормативного правового акта, проводивший ОРВ:</w:t>
            </w:r>
          </w:p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___________________________________________________________________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1.6.5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Электронный адрес размещения заключения об оценке регулирующего воздействия проекта нормативного правового акта:_______________________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1.6.6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Электронный адрес размещения экспертного заключения об оценке регулирующего воздействия проекта нормативного правового акта:_______________________________________________________________</w:t>
            </w:r>
          </w:p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1.7.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Контактная информация исполнителя:</w:t>
            </w:r>
          </w:p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Ф.И.О.:</w:t>
            </w:r>
            <w:r w:rsidR="00FC59F3">
              <w:t xml:space="preserve"> Бережная Ирина Александровна</w:t>
            </w:r>
            <w:r w:rsidRPr="00524A71">
              <w:tab/>
            </w:r>
          </w:p>
          <w:p w:rsidR="00336230" w:rsidRPr="00524A71" w:rsidRDefault="00FC59F3" w:rsidP="00522654">
            <w:pPr>
              <w:widowControl w:val="0"/>
              <w:autoSpaceDE w:val="0"/>
              <w:autoSpaceDN w:val="0"/>
              <w:jc w:val="both"/>
            </w:pPr>
            <w:r>
              <w:t>Должность: инженер-архитектор МБУ «АСЗ»</w:t>
            </w:r>
          </w:p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Тел.:</w:t>
            </w:r>
            <w:r w:rsidRPr="00524A71">
              <w:tab/>
            </w:r>
            <w:r w:rsidR="00FC59F3">
              <w:t>385-32-68</w:t>
            </w:r>
          </w:p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Адрес электронной почты:</w:t>
            </w:r>
            <w:r w:rsidRPr="00524A71">
              <w:tab/>
            </w:r>
            <w:r w:rsidR="00FC59F3" w:rsidRPr="00FC59F3">
              <w:t>myasz@mail.ru</w:t>
            </w:r>
          </w:p>
        </w:tc>
      </w:tr>
    </w:tbl>
    <w:p w:rsidR="00336230" w:rsidRDefault="00336230" w:rsidP="003C372D">
      <w:pPr>
        <w:widowControl w:val="0"/>
        <w:autoSpaceDE w:val="0"/>
        <w:autoSpaceDN w:val="0"/>
        <w:rPr>
          <w:b/>
          <w:sz w:val="28"/>
          <w:szCs w:val="28"/>
        </w:rPr>
      </w:pP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</w:rPr>
        <w:t>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RPr="00524A71" w:rsidTr="00522654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2.1.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</w:pPr>
            <w:r w:rsidRPr="00524A71">
              <w:t>Группа участников отношений: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2.2.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</w:pPr>
            <w:r w:rsidRPr="00524A71">
              <w:t>Данные о количестве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2.3.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</w:pPr>
            <w:r w:rsidRPr="00524A71">
              <w:t>Данные об изменении количества</w:t>
            </w:r>
            <w:r>
              <w:t xml:space="preserve"> </w:t>
            </w:r>
            <w:r w:rsidRPr="00524A71">
              <w:t>участников отношений в течении срока действия нормативного правового акта:</w:t>
            </w:r>
          </w:p>
        </w:tc>
      </w:tr>
      <w:tr w:rsidR="00FC59F3" w:rsidRPr="00BB62C6" w:rsidTr="00FC59F3">
        <w:trPr>
          <w:trHeight w:val="2656"/>
        </w:trPr>
        <w:tc>
          <w:tcPr>
            <w:tcW w:w="3237" w:type="dxa"/>
            <w:shd w:val="clear" w:color="auto" w:fill="auto"/>
          </w:tcPr>
          <w:p w:rsidR="00FC59F3" w:rsidRPr="00522654" w:rsidRDefault="00FC59F3" w:rsidP="00522654">
            <w:pPr>
              <w:widowControl w:val="0"/>
              <w:autoSpaceDE w:val="0"/>
              <w:autoSpaceDN w:val="0"/>
              <w:rPr>
                <w:i/>
              </w:rPr>
            </w:pPr>
            <w:r w:rsidRPr="00522654">
              <w:rPr>
                <w:i/>
              </w:rPr>
              <w:t xml:space="preserve">1. Юридические лица, независимо от их организационно-правовой формы и формы собственности и индивидуальные предприниматели, осуществляющие деятельность на территории </w:t>
            </w:r>
            <w:r w:rsidR="003C372D">
              <w:rPr>
                <w:i/>
              </w:rPr>
              <w:t>Арамильского городского округа;</w:t>
            </w:r>
          </w:p>
          <w:p w:rsidR="00FC59F3" w:rsidRPr="00522654" w:rsidRDefault="00FC59F3" w:rsidP="00522654">
            <w:pPr>
              <w:keepNext/>
              <w:tabs>
                <w:tab w:val="left" w:pos="0"/>
              </w:tabs>
              <w:outlineLvl w:val="0"/>
              <w:rPr>
                <w:rFonts w:eastAsia="Times New Roman"/>
                <w:bCs/>
                <w:i/>
                <w:kern w:val="32"/>
                <w:lang w:eastAsia="en-US"/>
              </w:rPr>
            </w:pPr>
          </w:p>
        </w:tc>
        <w:tc>
          <w:tcPr>
            <w:tcW w:w="3237" w:type="dxa"/>
            <w:shd w:val="clear" w:color="auto" w:fill="auto"/>
          </w:tcPr>
          <w:p w:rsidR="00FC59F3" w:rsidRPr="00522654" w:rsidRDefault="00522654" w:rsidP="00522654">
            <w:pPr>
              <w:widowControl w:val="0"/>
              <w:autoSpaceDE w:val="0"/>
              <w:autoSpaceDN w:val="0"/>
              <w:rPr>
                <w:i/>
              </w:rPr>
            </w:pPr>
            <w:r w:rsidRPr="00522654">
              <w:rPr>
                <w:i/>
              </w:rPr>
              <w:t>В 2019 году – 91 Юридическое лицо</w:t>
            </w:r>
          </w:p>
          <w:p w:rsidR="00FC59F3" w:rsidRPr="00522654" w:rsidRDefault="00FC59F3" w:rsidP="003C372D">
            <w:pPr>
              <w:keepNext/>
              <w:tabs>
                <w:tab w:val="left" w:pos="267"/>
              </w:tabs>
              <w:jc w:val="center"/>
              <w:outlineLvl w:val="0"/>
              <w:rPr>
                <w:rFonts w:eastAsia="Times New Roman"/>
                <w:bCs/>
                <w:i/>
                <w:color w:val="FF0000"/>
                <w:kern w:val="32"/>
                <w:lang w:eastAsia="en-US"/>
              </w:rPr>
            </w:pPr>
          </w:p>
        </w:tc>
        <w:tc>
          <w:tcPr>
            <w:tcW w:w="3150" w:type="dxa"/>
            <w:shd w:val="clear" w:color="auto" w:fill="auto"/>
          </w:tcPr>
          <w:p w:rsidR="00FC59F3" w:rsidRPr="00522654" w:rsidRDefault="00FC59F3" w:rsidP="00522654">
            <w:pPr>
              <w:keepNext/>
              <w:tabs>
                <w:tab w:val="left" w:pos="267"/>
              </w:tabs>
              <w:outlineLvl w:val="0"/>
              <w:rPr>
                <w:rStyle w:val="1"/>
                <w:rFonts w:eastAsia="SimSun"/>
                <w:i/>
                <w:color w:val="auto"/>
              </w:rPr>
            </w:pPr>
            <w:r w:rsidRPr="00522654">
              <w:rPr>
                <w:rStyle w:val="1"/>
                <w:rFonts w:eastAsia="SimSun"/>
                <w:i/>
                <w:color w:val="auto"/>
              </w:rPr>
              <w:t xml:space="preserve">Количество участников </w:t>
            </w:r>
            <w:r w:rsidR="00522654" w:rsidRPr="00522654">
              <w:rPr>
                <w:rStyle w:val="1"/>
                <w:rFonts w:eastAsia="SimSun"/>
                <w:i/>
                <w:color w:val="auto"/>
              </w:rPr>
              <w:t>ежегодно меняется</w:t>
            </w:r>
          </w:p>
          <w:p w:rsidR="00FC59F3" w:rsidRPr="00522654" w:rsidRDefault="00FC59F3" w:rsidP="003C372D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Cs/>
                <w:i/>
                <w:color w:val="FF0000"/>
                <w:kern w:val="32"/>
                <w:lang w:eastAsia="en-US"/>
              </w:rPr>
            </w:pPr>
          </w:p>
        </w:tc>
      </w:tr>
      <w:tr w:rsidR="00FC59F3" w:rsidRPr="00BB62C6" w:rsidTr="00FC59F3">
        <w:trPr>
          <w:trHeight w:val="893"/>
        </w:trPr>
        <w:tc>
          <w:tcPr>
            <w:tcW w:w="3237" w:type="dxa"/>
            <w:shd w:val="clear" w:color="auto" w:fill="auto"/>
          </w:tcPr>
          <w:p w:rsidR="00FC59F3" w:rsidRPr="00522654" w:rsidRDefault="00FC59F3" w:rsidP="00522654">
            <w:pPr>
              <w:widowControl w:val="0"/>
              <w:autoSpaceDE w:val="0"/>
              <w:autoSpaceDN w:val="0"/>
              <w:rPr>
                <w:i/>
              </w:rPr>
            </w:pPr>
            <w:r w:rsidRPr="00522654">
              <w:rPr>
                <w:i/>
              </w:rPr>
              <w:t>2. Физические лица;</w:t>
            </w:r>
          </w:p>
          <w:p w:rsidR="00FC59F3" w:rsidRPr="00522654" w:rsidRDefault="00FC59F3" w:rsidP="00522654">
            <w:pPr>
              <w:widowControl w:val="0"/>
              <w:autoSpaceDE w:val="0"/>
              <w:autoSpaceDN w:val="0"/>
              <w:rPr>
                <w:i/>
              </w:rPr>
            </w:pPr>
          </w:p>
        </w:tc>
        <w:tc>
          <w:tcPr>
            <w:tcW w:w="3237" w:type="dxa"/>
            <w:shd w:val="clear" w:color="auto" w:fill="auto"/>
          </w:tcPr>
          <w:p w:rsidR="00FC59F3" w:rsidRPr="003C372D" w:rsidRDefault="00522654" w:rsidP="003C372D">
            <w:pPr>
              <w:keepNext/>
              <w:tabs>
                <w:tab w:val="left" w:pos="267"/>
              </w:tabs>
              <w:outlineLvl w:val="0"/>
              <w:rPr>
                <w:i/>
              </w:rPr>
            </w:pPr>
            <w:r w:rsidRPr="00522654">
              <w:rPr>
                <w:i/>
              </w:rPr>
              <w:t>В 2019 году – 44 Индивидуальных предпринимателя</w:t>
            </w:r>
          </w:p>
        </w:tc>
        <w:tc>
          <w:tcPr>
            <w:tcW w:w="3150" w:type="dxa"/>
            <w:shd w:val="clear" w:color="auto" w:fill="auto"/>
          </w:tcPr>
          <w:p w:rsidR="00FC59F3" w:rsidRPr="00522654" w:rsidRDefault="00522654" w:rsidP="00522654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Cs/>
                <w:i/>
                <w:kern w:val="32"/>
                <w:lang w:eastAsia="en-US"/>
              </w:rPr>
            </w:pPr>
            <w:r w:rsidRPr="00522654">
              <w:rPr>
                <w:rStyle w:val="1"/>
                <w:rFonts w:eastAsia="SimSun"/>
                <w:i/>
                <w:color w:val="auto"/>
              </w:rPr>
              <w:t>Количество участников ежегодно меняется</w:t>
            </w:r>
          </w:p>
        </w:tc>
      </w:tr>
      <w:tr w:rsidR="00FC59F3" w:rsidRPr="00524A71" w:rsidTr="003C372D">
        <w:trPr>
          <w:trHeight w:val="65"/>
        </w:trPr>
        <w:tc>
          <w:tcPr>
            <w:tcW w:w="3237" w:type="dxa"/>
            <w:shd w:val="clear" w:color="auto" w:fill="auto"/>
          </w:tcPr>
          <w:p w:rsidR="00FC59F3" w:rsidRDefault="00FC59F3" w:rsidP="003C372D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</w:p>
        </w:tc>
        <w:tc>
          <w:tcPr>
            <w:tcW w:w="3237" w:type="dxa"/>
            <w:shd w:val="clear" w:color="auto" w:fill="auto"/>
          </w:tcPr>
          <w:p w:rsidR="00FC59F3" w:rsidRDefault="00FC59F3" w:rsidP="003C372D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</w:p>
        </w:tc>
        <w:tc>
          <w:tcPr>
            <w:tcW w:w="3150" w:type="dxa"/>
            <w:shd w:val="clear" w:color="auto" w:fill="auto"/>
          </w:tcPr>
          <w:p w:rsidR="00FC59F3" w:rsidRDefault="00FC59F3" w:rsidP="003C372D">
            <w:pPr>
              <w:keepNext/>
              <w:tabs>
                <w:tab w:val="left" w:pos="267"/>
              </w:tabs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</w:p>
        </w:tc>
      </w:tr>
      <w:tr w:rsidR="00336230" w:rsidRPr="00524A71" w:rsidTr="00522654">
        <w:tc>
          <w:tcPr>
            <w:tcW w:w="9624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2.4.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</w:pPr>
            <w:r w:rsidRPr="00524A71">
              <w:t>Источник данных:</w:t>
            </w:r>
            <w:r w:rsidR="003C372D">
              <w:rPr>
                <w:i/>
              </w:rPr>
              <w:t xml:space="preserve">                   Оперативные данные МБУ «АСЗ»</w:t>
            </w:r>
          </w:p>
        </w:tc>
      </w:tr>
      <w:tr w:rsidR="00336230" w:rsidRPr="00524A71" w:rsidTr="00522654">
        <w:tc>
          <w:tcPr>
            <w:tcW w:w="9624" w:type="dxa"/>
            <w:gridSpan w:val="3"/>
            <w:shd w:val="clear" w:color="auto" w:fill="auto"/>
          </w:tcPr>
          <w:p w:rsidR="00336230" w:rsidRPr="00BB249E" w:rsidRDefault="00336230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</w:p>
        </w:tc>
      </w:tr>
    </w:tbl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</w:t>
      </w:r>
      <w:r w:rsidRPr="00CE13E7">
        <w:rPr>
          <w:b/>
          <w:sz w:val="28"/>
          <w:szCs w:val="28"/>
        </w:rPr>
        <w:t>ценка степени решения проблемы и преодоления связанных с ней негативных эффектов за счет регулирования</w:t>
      </w:r>
    </w:p>
    <w:p w:rsidR="002C084D" w:rsidRPr="00CE13E7" w:rsidRDefault="002C084D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3.1.</w:t>
                  </w:r>
                </w:p>
              </w:tc>
            </w:tr>
          </w:tbl>
          <w:p w:rsidR="00336230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Описание проблемы, на решение которой направлено регулирование, установленное нормативным правовым актом, и связанных с ней негативных эффектов:</w:t>
            </w:r>
          </w:p>
          <w:p w:rsidR="001F3145" w:rsidRPr="001F3145" w:rsidRDefault="001F3145" w:rsidP="001F3145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1F3145">
              <w:rPr>
                <w:i/>
              </w:rPr>
              <w:t>Административный регламент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Свердловской области транспортного средства, осуществляющего перевозки тяжеловесных и (или) крупногабаритных грузов» (далее – Регламент) устанавливает порядок и стандарт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Свердловской области транспортного средства, осуществляющего перевозки тяжеловесных и (или) крупногабаритных грузов».</w:t>
            </w:r>
          </w:p>
          <w:p w:rsidR="001F3145" w:rsidRPr="00524A71" w:rsidRDefault="001F3145" w:rsidP="001F3145">
            <w:pPr>
              <w:widowControl w:val="0"/>
              <w:autoSpaceDE w:val="0"/>
              <w:autoSpaceDN w:val="0"/>
              <w:jc w:val="both"/>
            </w:pP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p w:rsidR="00336230" w:rsidRPr="00524A71" w:rsidRDefault="00336230" w:rsidP="00522654">
            <w:pPr>
              <w:widowControl w:val="0"/>
              <w:autoSpaceDE w:val="0"/>
              <w:autoSpaceDN w:val="0"/>
              <w:jc w:val="center"/>
            </w:pPr>
            <w:r w:rsidRPr="00524A71">
              <w:t>(описание)</w:t>
            </w: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3.2.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Оценка степени решения проблемы и связанных с ней негативных эффектов:</w:t>
            </w: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p w:rsidR="007837BB" w:rsidRPr="007837BB" w:rsidRDefault="007837BB" w:rsidP="007837BB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7837BB">
              <w:rPr>
                <w:i/>
              </w:rPr>
              <w:t>Текущий контроль за полнотой и качеством предоставления муниципальной услуги включает в себя: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действия (бездействие) специалистов МБУ «АСЗ», многофункционального центра предоставления государственных и муниципальных услуг и его сотрудников.</w:t>
            </w:r>
          </w:p>
          <w:p w:rsidR="007837BB" w:rsidRPr="007837BB" w:rsidRDefault="007837BB" w:rsidP="007837BB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7837BB">
              <w:rPr>
                <w:i/>
              </w:rPr>
              <w:t>Периодичность проведения плановых проверок не реже одного раза в год.</w:t>
            </w:r>
          </w:p>
          <w:p w:rsidR="00336230" w:rsidRPr="00BB249E" w:rsidRDefault="007837BB" w:rsidP="007837BB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7837BB">
              <w:rPr>
                <w:i/>
              </w:rPr>
              <w:t>Внеплановые проверки проводятся по поручению директора МБУ «АСЗ», либо лица, на которое временно возложено исполнение его обязанностей, при поступлении в МБУ «АСЗ» обращений (заявлений, жалоб), в которых содержатся сведения о нарушении специалистами регламента и законодательства Российской Федерации, регламентирующего порядок осуществления муниципальной услуги.</w:t>
            </w: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3.3.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Описание взаимосвязи решения проблемы и преодоления негативных эффектов с регулированием, установленным нормативным правовым актом:</w:t>
            </w: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p w:rsidR="00336230" w:rsidRPr="00BB249E" w:rsidRDefault="007837BB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1F3145">
              <w:rPr>
                <w:i/>
              </w:rPr>
              <w:t>Регламент устанавливает сроки и последовательность административных процедур Арамильского городского округа, осуществляемых в ходе предоставления муниципальной услуги, порядок взаимодействия между должностными лицами, взаимодействия с заявителями.</w:t>
            </w:r>
            <w:r w:rsidRPr="00BB249E">
              <w:rPr>
                <w:i/>
              </w:rPr>
              <w:t xml:space="preserve"> </w:t>
            </w:r>
            <w:r w:rsidR="00336230" w:rsidRPr="00BB249E">
              <w:rPr>
                <w:i/>
              </w:rPr>
              <w:t>(описание)</w:t>
            </w: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3.4.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Источники данных:</w:t>
            </w:r>
          </w:p>
        </w:tc>
      </w:tr>
      <w:tr w:rsidR="00336230" w:rsidRPr="00524A71" w:rsidTr="00522654">
        <w:tc>
          <w:tcPr>
            <w:tcW w:w="9624" w:type="dxa"/>
            <w:shd w:val="clear" w:color="auto" w:fill="auto"/>
          </w:tcPr>
          <w:p w:rsidR="007837BB" w:rsidRDefault="007837BB" w:rsidP="007837BB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 xml:space="preserve">- </w:t>
            </w:r>
            <w:r w:rsidRPr="007837BB">
              <w:rPr>
                <w:i/>
              </w:rPr>
              <w:t>Федеральн</w:t>
            </w:r>
            <w:r>
              <w:rPr>
                <w:i/>
              </w:rPr>
              <w:t>ый</w:t>
            </w:r>
            <w:r w:rsidRPr="007837BB">
              <w:rPr>
                <w:i/>
              </w:rPr>
              <w:t xml:space="preserve"> закон от 27.07.2010 № 210-ФЗ «Об организации предоставления государственных и муниципальных услуг»,</w:t>
            </w:r>
          </w:p>
          <w:p w:rsidR="007837BB" w:rsidRDefault="007837BB" w:rsidP="007837BB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>-</w:t>
            </w:r>
            <w:r w:rsidRPr="007837BB">
              <w:rPr>
                <w:i/>
              </w:rPr>
              <w:t xml:space="preserve"> Федеральны</w:t>
            </w:r>
            <w:r>
              <w:rPr>
                <w:i/>
              </w:rPr>
              <w:t>й</w:t>
            </w:r>
            <w:r w:rsidRPr="007837BB">
              <w:rPr>
                <w:i/>
              </w:rPr>
              <w:t xml:space="preserve">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</w:t>
            </w:r>
          </w:p>
          <w:p w:rsidR="007837BB" w:rsidRDefault="007837BB" w:rsidP="007837BB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t>- П</w:t>
            </w:r>
            <w:r w:rsidRPr="007837BB">
              <w:rPr>
                <w:i/>
              </w:rPr>
              <w:t>остановление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</w:t>
            </w:r>
          </w:p>
          <w:p w:rsidR="00336230" w:rsidRPr="00BB249E" w:rsidRDefault="007837BB" w:rsidP="007837BB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>
              <w:rPr>
                <w:i/>
              </w:rPr>
              <w:lastRenderedPageBreak/>
              <w:t>-</w:t>
            </w:r>
            <w:r w:rsidRPr="007837BB">
              <w:rPr>
                <w:i/>
              </w:rPr>
              <w:t xml:space="preserve"> </w:t>
            </w:r>
            <w:r>
              <w:rPr>
                <w:i/>
              </w:rPr>
              <w:t>П</w:t>
            </w:r>
            <w:r w:rsidRPr="007837BB">
              <w:rPr>
                <w:i/>
              </w:rPr>
              <w:t>остановление Администрации Арамильского городского округа от 13.03.2019 № 137 «Об утверждении Порядков разработки и утверждения административных регламентов осуществления муниципального контроля (надзора) органами местного самоуправления Арамильского городского округа и административных регламентов предоставления муниципальных услуг органами местного самоуправления Арамильского городского округа, а так же Правил проведения экспертизы проектов административных регламентов осуществления муниципального контроля (надзора) и административных регламентов предоставления муниципальных услуг»</w:t>
            </w:r>
          </w:p>
        </w:tc>
      </w:tr>
    </w:tbl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О</w:t>
      </w:r>
      <w:r w:rsidRPr="00CE13E7">
        <w:rPr>
          <w:b/>
          <w:sz w:val="28"/>
          <w:szCs w:val="28"/>
        </w:rPr>
        <w:t>ценка бюджетных расходов и доходов, возникающих при муниципальном регулировании</w:t>
      </w:r>
    </w:p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474"/>
        <w:gridCol w:w="3150"/>
      </w:tblGrid>
      <w:tr w:rsidR="00336230" w:rsidRPr="00524A71" w:rsidTr="00522654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4.1.</w:t>
                  </w:r>
                </w:p>
              </w:tc>
            </w:tr>
          </w:tbl>
          <w:p w:rsidR="00336230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Реализация функций,</w:t>
            </w:r>
          </w:p>
          <w:p w:rsidR="00336230" w:rsidRPr="007837BB" w:rsidRDefault="007837BB" w:rsidP="00522654">
            <w:pPr>
              <w:widowControl w:val="0"/>
              <w:autoSpaceDE w:val="0"/>
              <w:autoSpaceDN w:val="0"/>
              <w:jc w:val="both"/>
              <w:rPr>
                <w:i/>
              </w:rPr>
            </w:pPr>
            <w:r w:rsidRPr="007837BB">
              <w:rPr>
                <w:i/>
              </w:rPr>
              <w:t>Уполномоченным осуществлять муниципальную услугу определено МБУ «АСЗ»</w:t>
            </w:r>
          </w:p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4.2.</w:t>
                  </w:r>
                </w:p>
              </w:tc>
            </w:tr>
          </w:tbl>
          <w:p w:rsidR="00336230" w:rsidRDefault="00336230" w:rsidP="00522654">
            <w:pPr>
              <w:widowControl w:val="0"/>
              <w:autoSpaceDE w:val="0"/>
              <w:autoSpaceDN w:val="0"/>
              <w:jc w:val="both"/>
            </w:pPr>
            <w:r w:rsidRPr="00524A71">
              <w:t>Описание расходов и полномочий обязанностей поступлений и прав</w:t>
            </w:r>
          </w:p>
          <w:p w:rsidR="007837BB" w:rsidRPr="00B92FA2" w:rsidRDefault="00B92FA2" w:rsidP="00B92FA2">
            <w:pPr>
              <w:widowControl w:val="0"/>
              <w:autoSpaceDE w:val="0"/>
              <w:autoSpaceDN w:val="0"/>
              <w:jc w:val="both"/>
            </w:pPr>
            <w:r w:rsidRPr="00B92FA2">
              <w:rPr>
                <w:i/>
                <w:iCs/>
              </w:rPr>
              <w:t xml:space="preserve">Финансовое обеспечение функций осуществляется в рамках фонда оплаты труда специалиста </w:t>
            </w:r>
            <w:r>
              <w:rPr>
                <w:i/>
                <w:iCs/>
              </w:rPr>
              <w:t>МБУ «АСЗ»</w:t>
            </w:r>
            <w:r w:rsidRPr="00B92FA2">
              <w:rPr>
                <w:i/>
                <w:iCs/>
              </w:rPr>
              <w:t>, на которого возложены данные должностные обязанности.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4.3.</w:t>
                  </w:r>
                </w:p>
              </w:tc>
            </w:tr>
          </w:tbl>
          <w:p w:rsidR="007837BB" w:rsidRPr="00B92FA2" w:rsidRDefault="00336230" w:rsidP="007837BB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524A71">
              <w:t>Количественная оценка расходов и поступлений</w:t>
            </w:r>
            <w:r w:rsidR="007837BB" w:rsidRPr="00B92FA2">
              <w:rPr>
                <w:rFonts w:eastAsia="Calibri"/>
                <w:b/>
                <w:i/>
                <w:iCs/>
                <w:lang w:eastAsia="en-US"/>
              </w:rPr>
              <w:t xml:space="preserve"> </w:t>
            </w:r>
            <w:r w:rsidR="007837BB" w:rsidRPr="00B92FA2">
              <w:rPr>
                <w:rFonts w:eastAsia="Calibri"/>
                <w:i/>
                <w:iCs/>
                <w:lang w:eastAsia="en-US"/>
              </w:rPr>
              <w:t>Оценить расходы бюджета</w:t>
            </w:r>
          </w:p>
          <w:p w:rsidR="007837BB" w:rsidRPr="00B92FA2" w:rsidRDefault="007837BB" w:rsidP="007837BB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B92FA2">
              <w:rPr>
                <w:rFonts w:eastAsia="Calibri"/>
                <w:i/>
                <w:iCs/>
                <w:lang w:eastAsia="en-US"/>
              </w:rPr>
              <w:t>Арамильского городского округа по</w:t>
            </w:r>
          </w:p>
          <w:p w:rsidR="007837BB" w:rsidRPr="00B92FA2" w:rsidRDefault="007837BB" w:rsidP="007837BB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B92FA2">
              <w:rPr>
                <w:rFonts w:eastAsia="Calibri"/>
                <w:i/>
                <w:iCs/>
                <w:lang w:eastAsia="en-US"/>
              </w:rPr>
              <w:t>реализации Административного регламента не</w:t>
            </w:r>
          </w:p>
          <w:p w:rsidR="007837BB" w:rsidRPr="00B92FA2" w:rsidRDefault="007837BB" w:rsidP="007837BB">
            <w:pPr>
              <w:autoSpaceDE w:val="0"/>
              <w:autoSpaceDN w:val="0"/>
              <w:adjustRightInd w:val="0"/>
              <w:rPr>
                <w:rFonts w:eastAsia="Calibri"/>
                <w:i/>
                <w:iCs/>
                <w:lang w:eastAsia="en-US"/>
              </w:rPr>
            </w:pPr>
            <w:r w:rsidRPr="00B92FA2">
              <w:rPr>
                <w:rFonts w:eastAsia="Calibri"/>
                <w:i/>
                <w:iCs/>
                <w:lang w:eastAsia="en-US"/>
              </w:rPr>
              <w:t>предоставляется</w:t>
            </w:r>
          </w:p>
          <w:p w:rsidR="007837BB" w:rsidRPr="00B92FA2" w:rsidRDefault="007837BB" w:rsidP="007837BB">
            <w:pPr>
              <w:widowControl w:val="0"/>
              <w:autoSpaceDE w:val="0"/>
              <w:autoSpaceDN w:val="0"/>
              <w:jc w:val="both"/>
              <w:rPr>
                <w:rFonts w:eastAsia="Calibri"/>
                <w:i/>
                <w:iCs/>
                <w:lang w:eastAsia="en-US"/>
              </w:rPr>
            </w:pPr>
            <w:r w:rsidRPr="00B92FA2">
              <w:rPr>
                <w:rFonts w:eastAsia="Calibri"/>
                <w:i/>
                <w:iCs/>
                <w:lang w:eastAsia="en-US"/>
              </w:rPr>
              <w:t>возможным.</w:t>
            </w:r>
          </w:p>
          <w:p w:rsidR="00336230" w:rsidRPr="00524A71" w:rsidRDefault="00336230" w:rsidP="00522654">
            <w:pPr>
              <w:widowControl w:val="0"/>
              <w:autoSpaceDE w:val="0"/>
              <w:autoSpaceDN w:val="0"/>
              <w:jc w:val="both"/>
            </w:pPr>
          </w:p>
        </w:tc>
      </w:tr>
      <w:tr w:rsidR="00336230" w:rsidRPr="00524A71" w:rsidTr="00522654">
        <w:tc>
          <w:tcPr>
            <w:tcW w:w="6474" w:type="dxa"/>
            <w:shd w:val="clear" w:color="auto" w:fill="auto"/>
          </w:tcPr>
          <w:p w:rsidR="00336230" w:rsidRPr="00BB249E" w:rsidRDefault="00336230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Наименование органов власти, осуществляющих функцию (предоставляющего услугу):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C372D" w:rsidP="00522654">
            <w:pPr>
              <w:widowControl w:val="0"/>
              <w:autoSpaceDE w:val="0"/>
              <w:autoSpaceDN w:val="0"/>
              <w:jc w:val="center"/>
            </w:pPr>
            <w:r>
              <w:t>Администрация Арамильского городского округа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4.4.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</w:pPr>
            <w:r w:rsidRPr="00524A71">
              <w:t>Итого расходы по (функции №) в год: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E02F32" w:rsidP="0052265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4.5.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</w:pPr>
            <w:r w:rsidRPr="00524A71">
              <w:t>Итого поступления по (функции №) в год: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E02F32" w:rsidP="0052265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4.6.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 xml:space="preserve">Итого расходы в год, в </w:t>
            </w:r>
            <w:proofErr w:type="spellStart"/>
            <w:r w:rsidRPr="00B92FA2">
              <w:rPr>
                <w:rStyle w:val="2"/>
                <w:rFonts w:eastAsia="Calibri"/>
                <w:sz w:val="24"/>
                <w:szCs w:val="24"/>
              </w:rPr>
              <w:t>т.ч</w:t>
            </w:r>
            <w:proofErr w:type="spellEnd"/>
            <w:r w:rsidRPr="00B92FA2">
              <w:rPr>
                <w:rStyle w:val="2"/>
                <w:rFonts w:eastAsia="Calibr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522654">
        <w:tc>
          <w:tcPr>
            <w:tcW w:w="6474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E02F32" w:rsidP="0052265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E02F32" w:rsidP="0052265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E02F32" w:rsidP="0052265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E02F32" w:rsidP="0052265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4.7.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 xml:space="preserve">Итого поступления в год, в </w:t>
            </w:r>
            <w:proofErr w:type="spellStart"/>
            <w:r w:rsidRPr="00B92FA2">
              <w:rPr>
                <w:rStyle w:val="2"/>
                <w:rFonts w:eastAsia="Calibri"/>
                <w:sz w:val="24"/>
                <w:szCs w:val="24"/>
              </w:rPr>
              <w:t>т.ч</w:t>
            </w:r>
            <w:proofErr w:type="spellEnd"/>
            <w:r w:rsidRPr="00B92FA2">
              <w:rPr>
                <w:rStyle w:val="2"/>
                <w:rFonts w:eastAsia="Calibri"/>
                <w:sz w:val="24"/>
                <w:szCs w:val="24"/>
              </w:rPr>
              <w:t>. по уровням бюджетной системы: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522654">
        <w:tc>
          <w:tcPr>
            <w:tcW w:w="6474" w:type="dxa"/>
            <w:shd w:val="clear" w:color="auto" w:fill="auto"/>
            <w:vAlign w:val="center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- федеральный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E02F32" w:rsidP="0052265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  <w:vAlign w:val="center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- региональный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E02F32" w:rsidP="0052265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  <w:vAlign w:val="center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- местный бюджет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E02F32" w:rsidP="0052265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480"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- внебюджетные фонды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522654">
        <w:trPr>
          <w:trHeight w:val="526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4.8.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color w:val="000000"/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Иные сведения о расходах и поступлениях: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E02F32" w:rsidP="00522654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336230" w:rsidRPr="00524A71" w:rsidTr="00522654">
        <w:tc>
          <w:tcPr>
            <w:tcW w:w="6474" w:type="dxa"/>
            <w:shd w:val="clear" w:color="auto" w:fill="auto"/>
            <w:vAlign w:val="center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522654">
        <w:trPr>
          <w:trHeight w:val="510"/>
        </w:trPr>
        <w:tc>
          <w:tcPr>
            <w:tcW w:w="647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4.9.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="Calibri"/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Источники данных:</w:t>
            </w:r>
          </w:p>
        </w:tc>
        <w:tc>
          <w:tcPr>
            <w:tcW w:w="3150" w:type="dxa"/>
            <w:shd w:val="clear" w:color="auto" w:fill="auto"/>
          </w:tcPr>
          <w:p w:rsidR="00336230" w:rsidRPr="00524A71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CE13E7">
        <w:rPr>
          <w:b/>
          <w:sz w:val="28"/>
          <w:szCs w:val="28"/>
        </w:rPr>
        <w:t xml:space="preserve">5. </w:t>
      </w:r>
      <w:r>
        <w:rPr>
          <w:b/>
          <w:sz w:val="28"/>
          <w:szCs w:val="28"/>
        </w:rPr>
        <w:t>О</w:t>
      </w:r>
      <w:r w:rsidRPr="00CE13E7">
        <w:rPr>
          <w:b/>
          <w:sz w:val="28"/>
          <w:szCs w:val="28"/>
          <w:lang w:eastAsia="en-US"/>
        </w:rPr>
        <w:t xml:space="preserve">ценка фактических расходов, выгод (преимуществ) субъектов предпринимательской, инвестиционной деятельности, связанных с </w:t>
      </w:r>
      <w:r w:rsidRPr="00CE13E7">
        <w:rPr>
          <w:b/>
          <w:sz w:val="28"/>
          <w:szCs w:val="28"/>
          <w:lang w:eastAsia="en-US"/>
        </w:rPr>
        <w:lastRenderedPageBreak/>
        <w:t>необходимостью соблюдения установленных нормативным правовым актом обязанностей или ограничений</w:t>
      </w:r>
    </w:p>
    <w:p w:rsidR="00336230" w:rsidRPr="00524A71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46"/>
        <w:gridCol w:w="2675"/>
        <w:gridCol w:w="2487"/>
        <w:gridCol w:w="2116"/>
      </w:tblGrid>
      <w:tr w:rsidR="00336230" w:rsidRPr="00524A71" w:rsidTr="00522654">
        <w:trPr>
          <w:trHeight w:val="1796"/>
        </w:trPr>
        <w:tc>
          <w:tcPr>
            <w:tcW w:w="234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5.1.</w:t>
                  </w:r>
                </w:p>
              </w:tc>
            </w:tr>
          </w:tbl>
          <w:p w:rsidR="00336230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="Calibri"/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Установленная обязанность или ограничение</w:t>
            </w:r>
          </w:p>
          <w:p w:rsidR="001D4B39" w:rsidRPr="001D4B39" w:rsidRDefault="001D4B39" w:rsidP="001D4B39">
            <w:pPr>
              <w:pStyle w:val="4"/>
              <w:spacing w:after="0" w:line="240" w:lineRule="auto"/>
              <w:ind w:firstLine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1D4B39">
              <w:rPr>
                <w:rFonts w:ascii="Times New Roman" w:hAnsi="Times New Roman"/>
                <w:i/>
                <w:sz w:val="24"/>
                <w:szCs w:val="24"/>
              </w:rPr>
              <w:t>Предусмотрена обязанность предоставления документов, необходимых для</w:t>
            </w:r>
          </w:p>
          <w:p w:rsidR="001D4B39" w:rsidRPr="00B92FA2" w:rsidRDefault="001D4B39" w:rsidP="001D4B39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предоставления услуги</w:t>
            </w:r>
          </w:p>
        </w:tc>
        <w:tc>
          <w:tcPr>
            <w:tcW w:w="2675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5.2.</w:t>
                  </w:r>
                </w:p>
              </w:tc>
            </w:tr>
          </w:tbl>
          <w:p w:rsidR="00336230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="Calibri"/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Группа субъектов предпринимательской и инвестиционной деятельности</w:t>
            </w:r>
          </w:p>
          <w:p w:rsidR="001D4B39" w:rsidRPr="001D4B39" w:rsidRDefault="001D4B39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1D4B39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юридическое или физическое лицо, осуществляющее перевозку тяжеловесного или крупногабаритного груза</w:t>
            </w:r>
          </w:p>
        </w:tc>
        <w:tc>
          <w:tcPr>
            <w:tcW w:w="248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5.3.</w:t>
                  </w:r>
                </w:p>
              </w:tc>
            </w:tr>
          </w:tbl>
          <w:p w:rsidR="00336230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="Calibri"/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Описание расходов</w:t>
            </w:r>
          </w:p>
          <w:p w:rsidR="00F2541F" w:rsidRDefault="00F2541F" w:rsidP="00F2541F">
            <w:pPr>
              <w:pStyle w:val="4"/>
              <w:shd w:val="clear" w:color="auto" w:fill="auto"/>
              <w:spacing w:after="0" w:line="240" w:lineRule="auto"/>
              <w:ind w:firstLine="0"/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  <w:p w:rsidR="00F2541F" w:rsidRDefault="00F2541F" w:rsidP="00F2541F">
            <w:pPr>
              <w:pStyle w:val="4"/>
              <w:shd w:val="clear" w:color="auto" w:fill="auto"/>
              <w:spacing w:after="0" w:line="240" w:lineRule="auto"/>
              <w:ind w:firstLine="0"/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  <w:p w:rsidR="00F2541F" w:rsidRPr="00B92FA2" w:rsidRDefault="00F2541F" w:rsidP="00F2541F">
            <w:pPr>
              <w:pStyle w:val="4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2116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5.4.</w:t>
                  </w:r>
                </w:p>
              </w:tc>
            </w:tr>
          </w:tbl>
          <w:p w:rsidR="00336230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Style w:val="2"/>
                <w:rFonts w:eastAsia="Calibri"/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 xml:space="preserve"> Количественная оценка расходов</w:t>
            </w:r>
          </w:p>
          <w:p w:rsidR="00F2541F" w:rsidRPr="00F2541F" w:rsidRDefault="00F2541F" w:rsidP="00522654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2541F">
              <w:rPr>
                <w:rFonts w:ascii="Times New Roman" w:hAnsi="Times New Roman"/>
                <w:i/>
                <w:sz w:val="24"/>
                <w:szCs w:val="24"/>
              </w:rPr>
              <w:t>нет</w:t>
            </w:r>
          </w:p>
        </w:tc>
      </w:tr>
      <w:tr w:rsidR="00336230" w:rsidRPr="00524A71" w:rsidTr="00522654">
        <w:trPr>
          <w:trHeight w:val="1393"/>
        </w:trPr>
        <w:tc>
          <w:tcPr>
            <w:tcW w:w="2346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(Обязанность или ограничение №)</w:t>
            </w:r>
          </w:p>
        </w:tc>
        <w:tc>
          <w:tcPr>
            <w:tcW w:w="2675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(Группа участников отношений №)</w:t>
            </w:r>
          </w:p>
        </w:tc>
        <w:tc>
          <w:tcPr>
            <w:tcW w:w="2487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="Calibri"/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1. Единовременные расходы (указать время возникновения):</w:t>
            </w:r>
          </w:p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rStyle w:val="2"/>
                <w:rFonts w:eastAsia="Calibri"/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Вид расходов 1</w:t>
            </w:r>
          </w:p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Вид расходов …</w:t>
            </w:r>
          </w:p>
        </w:tc>
        <w:tc>
          <w:tcPr>
            <w:tcW w:w="2116" w:type="dxa"/>
            <w:shd w:val="clear" w:color="auto" w:fill="auto"/>
          </w:tcPr>
          <w:p w:rsidR="00336230" w:rsidRPr="00524A71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RPr="00524A71" w:rsidTr="00522654">
        <w:trPr>
          <w:trHeight w:val="579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5.5.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Итого совокупные единовременные расходы:</w:t>
            </w:r>
          </w:p>
        </w:tc>
        <w:tc>
          <w:tcPr>
            <w:tcW w:w="2116" w:type="dxa"/>
            <w:shd w:val="clear" w:color="auto" w:fill="auto"/>
          </w:tcPr>
          <w:p w:rsidR="00336230" w:rsidRPr="00524A71" w:rsidRDefault="00935246" w:rsidP="00522654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336230" w:rsidRPr="00524A71" w:rsidTr="00522654">
        <w:trPr>
          <w:trHeight w:val="981"/>
        </w:trPr>
        <w:tc>
          <w:tcPr>
            <w:tcW w:w="7508" w:type="dxa"/>
            <w:gridSpan w:val="3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5.6.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jc w:val="both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Итого совокупные постоянные расходы (в год):</w:t>
            </w:r>
          </w:p>
        </w:tc>
        <w:tc>
          <w:tcPr>
            <w:tcW w:w="2116" w:type="dxa"/>
            <w:shd w:val="clear" w:color="auto" w:fill="auto"/>
          </w:tcPr>
          <w:p w:rsidR="00336230" w:rsidRPr="00524A71" w:rsidRDefault="00935246" w:rsidP="00522654">
            <w:pPr>
              <w:widowControl w:val="0"/>
              <w:autoSpaceDE w:val="0"/>
              <w:autoSpaceDN w:val="0"/>
            </w:pPr>
            <w:r>
              <w:t>0</w:t>
            </w:r>
          </w:p>
        </w:tc>
      </w:tr>
      <w:tr w:rsidR="00336230" w:rsidRPr="00524A71" w:rsidTr="00522654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5.7.</w:t>
                  </w:r>
                </w:p>
              </w:tc>
            </w:tr>
          </w:tbl>
          <w:p w:rsidR="00336230" w:rsidRPr="00524A71" w:rsidRDefault="00336230" w:rsidP="00522654">
            <w:pPr>
              <w:widowControl w:val="0"/>
              <w:autoSpaceDE w:val="0"/>
              <w:autoSpaceDN w:val="0"/>
            </w:pPr>
            <w:r w:rsidRPr="00BB249E">
              <w:rPr>
                <w:rStyle w:val="2"/>
                <w:rFonts w:eastAsia="SimSun"/>
              </w:rPr>
              <w:t>Описание издержек, не поддающихся количественной оценке:</w:t>
            </w:r>
            <w:r w:rsidR="00935246">
              <w:rPr>
                <w:rStyle w:val="2"/>
                <w:rFonts w:eastAsia="SimSun"/>
              </w:rPr>
              <w:t xml:space="preserve"> </w:t>
            </w:r>
            <w:r w:rsidR="00935246" w:rsidRPr="00935246">
              <w:rPr>
                <w:rStyle w:val="2"/>
                <w:rFonts w:eastAsia="SimSun"/>
                <w:i/>
              </w:rPr>
              <w:t>нет</w:t>
            </w:r>
          </w:p>
        </w:tc>
      </w:tr>
      <w:tr w:rsidR="00336230" w:rsidRPr="00524A71" w:rsidTr="00522654">
        <w:trPr>
          <w:trHeight w:val="762"/>
        </w:trPr>
        <w:tc>
          <w:tcPr>
            <w:tcW w:w="9624" w:type="dxa"/>
            <w:gridSpan w:val="4"/>
            <w:shd w:val="clear" w:color="auto" w:fill="auto"/>
          </w:tcPr>
          <w:p w:rsidR="00336230" w:rsidRPr="003C372D" w:rsidRDefault="00336230" w:rsidP="003C372D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336230" w:rsidRPr="00524A71" w:rsidTr="00522654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5.8.</w:t>
                  </w:r>
                </w:p>
              </w:tc>
            </w:tr>
          </w:tbl>
          <w:p w:rsidR="00336230" w:rsidRDefault="00336230" w:rsidP="00522654">
            <w:pPr>
              <w:widowControl w:val="0"/>
              <w:autoSpaceDE w:val="0"/>
              <w:autoSpaceDN w:val="0"/>
              <w:rPr>
                <w:rStyle w:val="2"/>
                <w:rFonts w:eastAsia="SimSun"/>
              </w:rPr>
            </w:pPr>
            <w:r w:rsidRPr="00BB249E">
              <w:rPr>
                <w:rStyle w:val="2"/>
                <w:rFonts w:eastAsia="SimSun"/>
              </w:rPr>
              <w:t>Описание выгод субъектов предпринимательской и инвестиционной деятельности, возникающих в связи с регулированием:</w:t>
            </w:r>
          </w:p>
          <w:p w:rsidR="00935246" w:rsidRPr="00935246" w:rsidRDefault="00935246" w:rsidP="00935246">
            <w:pPr>
              <w:widowControl w:val="0"/>
              <w:autoSpaceDE w:val="0"/>
              <w:autoSpaceDN w:val="0"/>
              <w:rPr>
                <w:i/>
              </w:rPr>
            </w:pPr>
            <w:r w:rsidRPr="00935246">
              <w:rPr>
                <w:i/>
              </w:rPr>
              <w:t>- Регламентированный порядок п</w:t>
            </w:r>
            <w:r>
              <w:rPr>
                <w:i/>
              </w:rPr>
              <w:t>редоставления муниципальной услуги</w:t>
            </w:r>
            <w:r w:rsidRPr="00935246">
              <w:rPr>
                <w:i/>
              </w:rPr>
              <w:t>;</w:t>
            </w:r>
          </w:p>
          <w:p w:rsidR="00935246" w:rsidRPr="00935246" w:rsidRDefault="00935246" w:rsidP="00935246">
            <w:pPr>
              <w:widowControl w:val="0"/>
              <w:autoSpaceDE w:val="0"/>
              <w:autoSpaceDN w:val="0"/>
              <w:rPr>
                <w:i/>
              </w:rPr>
            </w:pPr>
            <w:r w:rsidRPr="00935246">
              <w:rPr>
                <w:i/>
              </w:rPr>
              <w:t>-</w:t>
            </w:r>
            <w:r>
              <w:rPr>
                <w:i/>
              </w:rPr>
              <w:t xml:space="preserve"> </w:t>
            </w:r>
            <w:r w:rsidRPr="00935246">
              <w:rPr>
                <w:i/>
              </w:rPr>
              <w:t>Муниципальная услуга предоставляется без взимания государственной пошлины;</w:t>
            </w:r>
          </w:p>
          <w:p w:rsidR="00935246" w:rsidRPr="00935246" w:rsidRDefault="00935246" w:rsidP="00935246">
            <w:pPr>
              <w:widowControl w:val="0"/>
              <w:autoSpaceDE w:val="0"/>
              <w:autoSpaceDN w:val="0"/>
              <w:rPr>
                <w:i/>
              </w:rPr>
            </w:pPr>
            <w:r w:rsidRPr="00935246">
              <w:rPr>
                <w:i/>
              </w:rPr>
              <w:t>- недопустимость взимания органами муниципального контроля с юридических лиц, индивидуальных предпринимателей платы за проведение мероприятий по контролю</w:t>
            </w:r>
            <w:r>
              <w:rPr>
                <w:i/>
              </w:rPr>
              <w:t>.</w:t>
            </w:r>
          </w:p>
          <w:p w:rsidR="00935246" w:rsidRPr="00524A71" w:rsidRDefault="00935246" w:rsidP="00935246">
            <w:pPr>
              <w:widowControl w:val="0"/>
              <w:autoSpaceDE w:val="0"/>
              <w:autoSpaceDN w:val="0"/>
            </w:pPr>
          </w:p>
        </w:tc>
      </w:tr>
      <w:tr w:rsidR="00336230" w:rsidRPr="00524A71" w:rsidTr="00522654">
        <w:trPr>
          <w:trHeight w:val="752"/>
        </w:trPr>
        <w:tc>
          <w:tcPr>
            <w:tcW w:w="9624" w:type="dxa"/>
            <w:gridSpan w:val="4"/>
            <w:shd w:val="clear" w:color="auto" w:fill="auto"/>
          </w:tcPr>
          <w:p w:rsidR="00336230" w:rsidRPr="00524A71" w:rsidRDefault="00336230" w:rsidP="00522654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  <w:tr w:rsidR="00336230" w:rsidRPr="00524A71" w:rsidTr="00522654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5.9.</w:t>
                  </w:r>
                </w:p>
              </w:tc>
            </w:tr>
          </w:tbl>
          <w:p w:rsidR="00336230" w:rsidRPr="00524A71" w:rsidRDefault="00336230" w:rsidP="00935246">
            <w:pPr>
              <w:widowControl w:val="0"/>
              <w:autoSpaceDE w:val="0"/>
              <w:autoSpaceDN w:val="0"/>
            </w:pPr>
            <w:r w:rsidRPr="00BB249E">
              <w:rPr>
                <w:rStyle w:val="2"/>
                <w:rFonts w:eastAsia="SimSun"/>
              </w:rPr>
              <w:t>Источники данных:</w:t>
            </w:r>
            <w:r w:rsidR="00935246">
              <w:t xml:space="preserve"> </w:t>
            </w:r>
            <w:r w:rsidR="00935246" w:rsidRPr="00935246">
              <w:rPr>
                <w:rStyle w:val="2"/>
                <w:rFonts w:eastAsia="SimSun"/>
                <w:i/>
              </w:rPr>
              <w:t>Федеральны</w:t>
            </w:r>
            <w:r w:rsidR="00935246">
              <w:rPr>
                <w:rStyle w:val="2"/>
                <w:rFonts w:eastAsia="SimSun"/>
                <w:i/>
              </w:rPr>
              <w:t>й</w:t>
            </w:r>
            <w:r w:rsidR="00935246" w:rsidRPr="00935246">
              <w:rPr>
                <w:rStyle w:val="2"/>
                <w:rFonts w:eastAsia="SimSun"/>
                <w:i/>
              </w:rPr>
              <w:t xml:space="preserve">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      </w:r>
          </w:p>
        </w:tc>
      </w:tr>
      <w:tr w:rsidR="00336230" w:rsidRPr="00524A71" w:rsidTr="00522654">
        <w:trPr>
          <w:trHeight w:val="628"/>
        </w:trPr>
        <w:tc>
          <w:tcPr>
            <w:tcW w:w="9624" w:type="dxa"/>
            <w:gridSpan w:val="4"/>
            <w:shd w:val="clear" w:color="auto" w:fill="auto"/>
          </w:tcPr>
          <w:p w:rsidR="00336230" w:rsidRPr="00524A71" w:rsidRDefault="00336230" w:rsidP="00522654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rStyle w:val="2"/>
                <w:rFonts w:eastAsia="SimSun"/>
                <w:i/>
              </w:rPr>
              <w:t>(описание)</w:t>
            </w:r>
          </w:p>
        </w:tc>
      </w:tr>
    </w:tbl>
    <w:p w:rsidR="003C372D" w:rsidRDefault="003C372D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336230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О</w:t>
      </w:r>
      <w:r w:rsidRPr="00CE13E7">
        <w:rPr>
          <w:b/>
          <w:sz w:val="28"/>
          <w:szCs w:val="28"/>
        </w:rPr>
        <w:t>ценка фактических положительных и отрицательных последствий регулирования</w:t>
      </w: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28"/>
        <w:gridCol w:w="2428"/>
        <w:gridCol w:w="2428"/>
        <w:gridCol w:w="2340"/>
      </w:tblGrid>
      <w:tr w:rsidR="00336230" w:rsidTr="00522654"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lastRenderedPageBreak/>
                    <w:t>6.1.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Описание</w:t>
            </w:r>
          </w:p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отрицательных</w:t>
            </w:r>
          </w:p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последствий</w:t>
            </w:r>
          </w:p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регулирования в</w:t>
            </w:r>
          </w:p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разрезе групп</w:t>
            </w:r>
          </w:p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участников</w:t>
            </w:r>
          </w:p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отношений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6.2.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Количественная оценка</w:t>
            </w:r>
          </w:p>
        </w:tc>
        <w:tc>
          <w:tcPr>
            <w:tcW w:w="2428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6.3.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Описание положительных последствий регулирования в разрезе групп участников отношений</w:t>
            </w:r>
          </w:p>
        </w:tc>
        <w:tc>
          <w:tcPr>
            <w:tcW w:w="234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6.4.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Количественная оценка</w:t>
            </w:r>
          </w:p>
        </w:tc>
      </w:tr>
      <w:tr w:rsidR="00336230" w:rsidTr="00522654">
        <w:tc>
          <w:tcPr>
            <w:tcW w:w="2428" w:type="dxa"/>
            <w:shd w:val="clear" w:color="auto" w:fill="auto"/>
          </w:tcPr>
          <w:p w:rsidR="00C504EA" w:rsidRPr="00C504EA" w:rsidRDefault="00C504EA" w:rsidP="00C504EA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C504EA">
              <w:rPr>
                <w:i/>
              </w:rPr>
              <w:t>Негативные последствия, связанные</w:t>
            </w:r>
          </w:p>
          <w:p w:rsidR="00336230" w:rsidRPr="002B4BB7" w:rsidRDefault="00C504EA" w:rsidP="00C504EA">
            <w:pPr>
              <w:widowControl w:val="0"/>
              <w:autoSpaceDE w:val="0"/>
              <w:autoSpaceDN w:val="0"/>
              <w:jc w:val="center"/>
            </w:pPr>
            <w:r w:rsidRPr="00C504EA">
              <w:rPr>
                <w:i/>
              </w:rPr>
              <w:t>регламентом отсутствуют полностью</w:t>
            </w:r>
          </w:p>
        </w:tc>
        <w:tc>
          <w:tcPr>
            <w:tcW w:w="2428" w:type="dxa"/>
            <w:shd w:val="clear" w:color="auto" w:fill="auto"/>
          </w:tcPr>
          <w:p w:rsidR="00336230" w:rsidRPr="002B4BB7" w:rsidRDefault="00C504EA" w:rsidP="00522654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2428" w:type="dxa"/>
            <w:shd w:val="clear" w:color="auto" w:fill="auto"/>
          </w:tcPr>
          <w:p w:rsidR="00C504EA" w:rsidRPr="00C504EA" w:rsidRDefault="00C504EA" w:rsidP="00C504EA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C504EA">
              <w:rPr>
                <w:i/>
              </w:rPr>
              <w:t xml:space="preserve">Соблюдение </w:t>
            </w:r>
            <w:r>
              <w:rPr>
                <w:i/>
              </w:rPr>
              <w:t>МБУ «АСЗ»</w:t>
            </w:r>
            <w:r w:rsidRPr="00C504EA">
              <w:rPr>
                <w:i/>
              </w:rPr>
              <w:t>, юридическими лицами и индивидуальными</w:t>
            </w:r>
          </w:p>
          <w:p w:rsidR="00C504EA" w:rsidRPr="00C504EA" w:rsidRDefault="00C504EA" w:rsidP="00C504EA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C504EA">
              <w:rPr>
                <w:i/>
              </w:rPr>
              <w:t>предпринимателями действующего законодательства в</w:t>
            </w:r>
          </w:p>
          <w:p w:rsidR="00336230" w:rsidRPr="002B4BB7" w:rsidRDefault="00C504EA" w:rsidP="00C504EA">
            <w:pPr>
              <w:widowControl w:val="0"/>
              <w:autoSpaceDE w:val="0"/>
              <w:autoSpaceDN w:val="0"/>
              <w:jc w:val="center"/>
            </w:pPr>
            <w:r w:rsidRPr="00C504EA">
              <w:rPr>
                <w:i/>
              </w:rPr>
              <w:t xml:space="preserve">сфере </w:t>
            </w:r>
            <w:r w:rsidR="00240D84" w:rsidRPr="00240D84">
              <w:rPr>
                <w:i/>
              </w:rPr>
              <w:t>перевозки тяжеловесных и (или) крупногабаритных грузов</w:t>
            </w:r>
          </w:p>
        </w:tc>
        <w:tc>
          <w:tcPr>
            <w:tcW w:w="2340" w:type="dxa"/>
            <w:shd w:val="clear" w:color="auto" w:fill="auto"/>
          </w:tcPr>
          <w:p w:rsidR="00336230" w:rsidRPr="002B4BB7" w:rsidRDefault="00240D84" w:rsidP="00522654">
            <w:pPr>
              <w:widowControl w:val="0"/>
              <w:autoSpaceDE w:val="0"/>
              <w:autoSpaceDN w:val="0"/>
              <w:jc w:val="center"/>
            </w:pPr>
            <w:r>
              <w:t>-</w:t>
            </w:r>
          </w:p>
        </w:tc>
      </w:tr>
      <w:tr w:rsidR="00336230" w:rsidTr="00522654">
        <w:trPr>
          <w:trHeight w:val="428"/>
        </w:trPr>
        <w:tc>
          <w:tcPr>
            <w:tcW w:w="2428" w:type="dxa"/>
            <w:shd w:val="clear" w:color="auto" w:fill="auto"/>
          </w:tcPr>
          <w:p w:rsidR="00336230" w:rsidRPr="002B4BB7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336230" w:rsidRPr="002B4BB7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428" w:type="dxa"/>
            <w:shd w:val="clear" w:color="auto" w:fill="auto"/>
          </w:tcPr>
          <w:p w:rsidR="00336230" w:rsidRPr="002B4BB7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340" w:type="dxa"/>
            <w:shd w:val="clear" w:color="auto" w:fill="auto"/>
          </w:tcPr>
          <w:p w:rsidR="00336230" w:rsidRPr="002B4BB7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</w:tr>
      <w:tr w:rsidR="00336230" w:rsidTr="00522654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6.5.</w:t>
                  </w:r>
                </w:p>
              </w:tc>
            </w:tr>
          </w:tbl>
          <w:p w:rsidR="00336230" w:rsidRPr="002B4BB7" w:rsidRDefault="00336230" w:rsidP="00522654">
            <w:pPr>
              <w:widowControl w:val="0"/>
              <w:autoSpaceDE w:val="0"/>
              <w:autoSpaceDN w:val="0"/>
              <w:jc w:val="both"/>
            </w:pPr>
            <w:r w:rsidRPr="002B4BB7">
              <w:t>Иные последствия регулирования:</w:t>
            </w:r>
            <w:r w:rsidR="00240D84">
              <w:t xml:space="preserve"> -</w:t>
            </w:r>
          </w:p>
        </w:tc>
      </w:tr>
      <w:tr w:rsidR="00336230" w:rsidTr="00522654">
        <w:trPr>
          <w:trHeight w:val="482"/>
        </w:trPr>
        <w:tc>
          <w:tcPr>
            <w:tcW w:w="9624" w:type="dxa"/>
            <w:gridSpan w:val="4"/>
            <w:shd w:val="clear" w:color="auto" w:fill="auto"/>
          </w:tcPr>
          <w:p w:rsidR="00336230" w:rsidRPr="00BB249E" w:rsidRDefault="00336230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Tr="00522654">
        <w:tc>
          <w:tcPr>
            <w:tcW w:w="9624" w:type="dxa"/>
            <w:gridSpan w:val="4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6.6.</w:t>
                  </w:r>
                </w:p>
              </w:tc>
            </w:tr>
          </w:tbl>
          <w:p w:rsidR="00336230" w:rsidRPr="002B4BB7" w:rsidRDefault="00336230" w:rsidP="00522654">
            <w:pPr>
              <w:widowControl w:val="0"/>
              <w:autoSpaceDE w:val="0"/>
              <w:autoSpaceDN w:val="0"/>
              <w:jc w:val="both"/>
            </w:pPr>
            <w:r w:rsidRPr="002B4BB7">
              <w:t>Источники данных:</w:t>
            </w:r>
            <w:r w:rsidR="00240D84">
              <w:t xml:space="preserve"> -</w:t>
            </w:r>
          </w:p>
        </w:tc>
      </w:tr>
      <w:tr w:rsidR="00336230" w:rsidTr="00522654">
        <w:tc>
          <w:tcPr>
            <w:tcW w:w="9624" w:type="dxa"/>
            <w:gridSpan w:val="4"/>
            <w:shd w:val="clear" w:color="auto" w:fill="auto"/>
          </w:tcPr>
          <w:p w:rsidR="00336230" w:rsidRPr="00BB249E" w:rsidRDefault="00336230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</w:tbl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Pr="00CE13E7" w:rsidRDefault="00336230" w:rsidP="0033623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7. С</w:t>
      </w:r>
      <w:r w:rsidRPr="00CE13E7">
        <w:rPr>
          <w:b/>
          <w:sz w:val="28"/>
          <w:szCs w:val="28"/>
        </w:rPr>
        <w:t>ведения о реализации методов контроля за достижением цели регулирования</w:t>
      </w:r>
    </w:p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36"/>
        <w:gridCol w:w="2835"/>
        <w:gridCol w:w="2853"/>
      </w:tblGrid>
      <w:tr w:rsidR="00336230" w:rsidTr="00240D84">
        <w:tc>
          <w:tcPr>
            <w:tcW w:w="393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7.1.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Характеристика методов контроля за достижением цели регулирования</w:t>
            </w:r>
          </w:p>
        </w:tc>
        <w:tc>
          <w:tcPr>
            <w:tcW w:w="2835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7.2.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Описание результатов реализации методов контроля за достижением цели регулирования</w:t>
            </w:r>
          </w:p>
        </w:tc>
        <w:tc>
          <w:tcPr>
            <w:tcW w:w="2853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7.3.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Оценка расходов на осуществление контроля</w:t>
            </w:r>
          </w:p>
        </w:tc>
      </w:tr>
      <w:tr w:rsidR="00336230" w:rsidTr="00240D84">
        <w:tc>
          <w:tcPr>
            <w:tcW w:w="3936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2853" w:type="dxa"/>
            <w:shd w:val="clear" w:color="auto" w:fill="auto"/>
          </w:tcPr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="Calibri"/>
                <w:sz w:val="24"/>
                <w:szCs w:val="24"/>
              </w:rPr>
            </w:pPr>
          </w:p>
        </w:tc>
      </w:tr>
      <w:tr w:rsidR="00336230" w:rsidTr="00240D84">
        <w:trPr>
          <w:trHeight w:val="542"/>
        </w:trPr>
        <w:tc>
          <w:tcPr>
            <w:tcW w:w="3936" w:type="dxa"/>
            <w:shd w:val="clear" w:color="auto" w:fill="auto"/>
          </w:tcPr>
          <w:p w:rsidR="00240D84" w:rsidRPr="00240D84" w:rsidRDefault="00240D84" w:rsidP="00240D84">
            <w:pPr>
              <w:pStyle w:val="4"/>
              <w:ind w:left="120" w:right="34" w:hanging="120"/>
              <w:rPr>
                <w:rStyle w:val="2"/>
                <w:rFonts w:eastAsia="Calibri"/>
                <w:i/>
                <w:sz w:val="24"/>
                <w:szCs w:val="24"/>
              </w:rPr>
            </w:pPr>
            <w:r w:rsidRPr="00240D84">
              <w:rPr>
                <w:rStyle w:val="2"/>
                <w:rFonts w:eastAsia="Calibri"/>
                <w:i/>
                <w:sz w:val="24"/>
                <w:szCs w:val="24"/>
              </w:rPr>
              <w:t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МБУ «АСЗ» нормативных правовых актов, а также положений регламента.</w:t>
            </w:r>
          </w:p>
          <w:p w:rsidR="00336230" w:rsidRPr="00240D84" w:rsidRDefault="00240D84" w:rsidP="00240D84">
            <w:pPr>
              <w:pStyle w:val="4"/>
              <w:shd w:val="clear" w:color="auto" w:fill="auto"/>
              <w:spacing w:after="0" w:line="240" w:lineRule="auto"/>
              <w:ind w:left="120" w:right="34" w:firstLine="0"/>
              <w:rPr>
                <w:rStyle w:val="2"/>
                <w:rFonts w:eastAsia="Calibri"/>
                <w:i/>
                <w:sz w:val="24"/>
                <w:szCs w:val="24"/>
              </w:rPr>
            </w:pPr>
            <w:r w:rsidRPr="00240D84">
              <w:rPr>
                <w:rStyle w:val="2"/>
                <w:rFonts w:eastAsia="Calibri"/>
                <w:i/>
                <w:sz w:val="24"/>
                <w:szCs w:val="24"/>
              </w:rPr>
              <w:t>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МБУ «АСЗ»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      </w:r>
          </w:p>
        </w:tc>
        <w:tc>
          <w:tcPr>
            <w:tcW w:w="2835" w:type="dxa"/>
            <w:shd w:val="clear" w:color="auto" w:fill="auto"/>
          </w:tcPr>
          <w:p w:rsidR="00336230" w:rsidRPr="00240D84" w:rsidRDefault="00240D84" w:rsidP="00522654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="Calibri"/>
                <w:i/>
                <w:sz w:val="24"/>
                <w:szCs w:val="24"/>
              </w:rPr>
            </w:pPr>
            <w:r w:rsidRPr="00240D84">
              <w:rPr>
                <w:rStyle w:val="2"/>
                <w:rFonts w:eastAsia="Calibri"/>
                <w:i/>
                <w:sz w:val="24"/>
                <w:szCs w:val="24"/>
              </w:rPr>
              <w:t>Контрольных мероприятий за 2018 год не проводилось</w:t>
            </w:r>
          </w:p>
        </w:tc>
        <w:tc>
          <w:tcPr>
            <w:tcW w:w="2853" w:type="dxa"/>
            <w:shd w:val="clear" w:color="auto" w:fill="auto"/>
          </w:tcPr>
          <w:p w:rsidR="00336230" w:rsidRPr="00B92FA2" w:rsidRDefault="00240D84" w:rsidP="00522654">
            <w:pPr>
              <w:pStyle w:val="4"/>
              <w:shd w:val="clear" w:color="auto" w:fill="auto"/>
              <w:spacing w:after="0" w:line="240" w:lineRule="auto"/>
              <w:ind w:left="120" w:firstLine="0"/>
              <w:rPr>
                <w:rStyle w:val="2"/>
                <w:rFonts w:eastAsia="Calibri"/>
                <w:sz w:val="24"/>
                <w:szCs w:val="24"/>
              </w:rPr>
            </w:pPr>
            <w:r>
              <w:rPr>
                <w:rStyle w:val="2"/>
                <w:rFonts w:eastAsia="Calibri"/>
                <w:sz w:val="24"/>
                <w:szCs w:val="24"/>
              </w:rPr>
              <w:t>-</w:t>
            </w:r>
          </w:p>
        </w:tc>
      </w:tr>
    </w:tbl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p w:rsidR="00336230" w:rsidRDefault="00336230" w:rsidP="00336230">
      <w:pPr>
        <w:autoSpaceDE w:val="0"/>
        <w:autoSpaceDN w:val="0"/>
        <w:adjustRightInd w:val="0"/>
        <w:jc w:val="center"/>
        <w:rPr>
          <w:rFonts w:eastAsia="Times New Roman"/>
          <w:i/>
          <w:sz w:val="28"/>
          <w:szCs w:val="28"/>
        </w:rPr>
      </w:pPr>
      <w:r>
        <w:rPr>
          <w:rFonts w:eastAsia="Times New Roman"/>
          <w:i/>
          <w:sz w:val="28"/>
          <w:szCs w:val="28"/>
        </w:rPr>
        <w:t>Сведения, включаемые в доработанное заключение с учётом результатов публичного обсуждения</w:t>
      </w:r>
    </w:p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pPr w:leftFromText="180" w:rightFromText="180" w:bottomFromText="160" w:vertAnchor="text" w:tblpX="40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36230" w:rsidTr="00522654">
        <w:trPr>
          <w:cantSplit/>
        </w:trPr>
        <w:tc>
          <w:tcPr>
            <w:tcW w:w="5000" w:type="pct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336230" w:rsidRDefault="00336230" w:rsidP="00522654">
            <w:pPr>
              <w:keepNext/>
              <w:tabs>
                <w:tab w:val="left" w:pos="267"/>
              </w:tabs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8. Иные сведения, которые, по мнению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val="x-none" w:eastAsia="x-none"/>
              </w:rPr>
              <w:t xml:space="preserve"> </w:t>
            </w:r>
            <w:r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  <w:t>уполномоченного органа, позволяют оценить фактическое воздействие регулирования</w:t>
            </w:r>
          </w:p>
          <w:p w:rsidR="00336230" w:rsidRDefault="00336230" w:rsidP="00522654">
            <w:pPr>
              <w:keepNext/>
              <w:tabs>
                <w:tab w:val="left" w:pos="267"/>
              </w:tabs>
              <w:jc w:val="center"/>
              <w:outlineLvl w:val="0"/>
              <w:rPr>
                <w:rFonts w:eastAsia="Times New Roman"/>
                <w:b/>
                <w:bCs/>
                <w:kern w:val="32"/>
                <w:sz w:val="28"/>
                <w:szCs w:val="28"/>
                <w:lang w:eastAsia="en-US"/>
              </w:rPr>
            </w:pPr>
          </w:p>
        </w:tc>
      </w:tr>
      <w:tr w:rsidR="00336230" w:rsidTr="00522654">
        <w:trPr>
          <w:cantSplit/>
          <w:trHeight w:val="1170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9.1.</w:t>
                  </w:r>
                </w:p>
              </w:tc>
            </w:tr>
          </w:tbl>
          <w:p w:rsidR="00336230" w:rsidRDefault="00336230" w:rsidP="00522654">
            <w:pPr>
              <w:keepNext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Иные необходимые, по мнению</w:t>
            </w:r>
            <w:r>
              <w:rPr>
                <w:rFonts w:eastAsia="Times New Roman"/>
                <w:bCs/>
                <w:kern w:val="32"/>
                <w:lang w:val="x-none" w:eastAsia="x-none"/>
              </w:rPr>
              <w:t xml:space="preserve"> </w:t>
            </w:r>
            <w:r>
              <w:rPr>
                <w:rFonts w:eastAsia="Times New Roman"/>
                <w:bCs/>
                <w:kern w:val="32"/>
                <w:lang w:eastAsia="en-US"/>
              </w:rPr>
              <w:t>уполномоченного органа, сведения:</w:t>
            </w:r>
          </w:p>
          <w:p w:rsidR="00336230" w:rsidRDefault="00336230" w:rsidP="0052265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</w:t>
            </w:r>
            <w:r w:rsidR="003974A4" w:rsidRPr="003974A4">
              <w:rPr>
                <w:rFonts w:eastAsia="Times New Roman"/>
                <w:i/>
                <w:lang w:eastAsia="en-US"/>
              </w:rPr>
              <w:t>нет</w:t>
            </w:r>
            <w:r>
              <w:rPr>
                <w:rFonts w:eastAsia="Times New Roman"/>
                <w:lang w:eastAsia="en-US"/>
              </w:rPr>
              <w:t>________________________</w:t>
            </w:r>
          </w:p>
          <w:p w:rsidR="00336230" w:rsidRDefault="00336230" w:rsidP="0052265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  <w:tr w:rsidR="00336230" w:rsidTr="00522654">
        <w:trPr>
          <w:cantSplit/>
          <w:trHeight w:val="1234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9.2.</w:t>
                  </w:r>
                </w:p>
              </w:tc>
            </w:tr>
          </w:tbl>
          <w:p w:rsidR="00336230" w:rsidRDefault="00336230" w:rsidP="00522654">
            <w:pPr>
              <w:keepNext/>
              <w:ind w:left="884" w:hanging="851"/>
              <w:jc w:val="both"/>
              <w:outlineLvl w:val="0"/>
              <w:rPr>
                <w:rFonts w:eastAsia="Times New Roman"/>
                <w:bCs/>
                <w:kern w:val="32"/>
                <w:lang w:eastAsia="en-US"/>
              </w:rPr>
            </w:pPr>
            <w:r>
              <w:rPr>
                <w:rFonts w:eastAsia="Times New Roman"/>
                <w:bCs/>
                <w:kern w:val="32"/>
                <w:lang w:eastAsia="en-US"/>
              </w:rPr>
              <w:t>Источники данных:</w:t>
            </w:r>
          </w:p>
          <w:p w:rsidR="00336230" w:rsidRDefault="00336230" w:rsidP="0052265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</w:t>
            </w:r>
            <w:r w:rsidR="003974A4" w:rsidRPr="003974A4">
              <w:rPr>
                <w:rFonts w:eastAsia="Times New Roman"/>
                <w:i/>
                <w:lang w:eastAsia="en-US"/>
              </w:rPr>
              <w:t>нет</w:t>
            </w:r>
            <w:r>
              <w:rPr>
                <w:rFonts w:eastAsia="Times New Roman"/>
                <w:lang w:eastAsia="en-US"/>
              </w:rPr>
              <w:t>________________________</w:t>
            </w:r>
          </w:p>
          <w:p w:rsidR="00336230" w:rsidRDefault="00336230" w:rsidP="00522654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(место для текстового описания)</w:t>
            </w:r>
          </w:p>
        </w:tc>
      </w:tr>
    </w:tbl>
    <w:p w:rsidR="00336230" w:rsidRDefault="00336230" w:rsidP="003C372D">
      <w:pPr>
        <w:widowControl w:val="0"/>
        <w:tabs>
          <w:tab w:val="left" w:pos="284"/>
        </w:tabs>
        <w:autoSpaceDE w:val="0"/>
        <w:autoSpaceDN w:val="0"/>
        <w:rPr>
          <w:b/>
          <w:sz w:val="28"/>
          <w:szCs w:val="28"/>
        </w:rPr>
      </w:pPr>
    </w:p>
    <w:p w:rsidR="00336230" w:rsidRPr="00731EE7" w:rsidRDefault="00336230" w:rsidP="00336230">
      <w:pPr>
        <w:widowControl w:val="0"/>
        <w:tabs>
          <w:tab w:val="left" w:pos="284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В</w:t>
      </w:r>
      <w:r w:rsidRPr="00731EE7">
        <w:rPr>
          <w:b/>
          <w:sz w:val="28"/>
          <w:szCs w:val="28"/>
        </w:rPr>
        <w:t>ыводы о достижении заявленных целей за счет регулирования, об эффективности решения проблем и преодоления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 и инвестиционной деятельности</w:t>
      </w:r>
    </w:p>
    <w:p w:rsidR="00336230" w:rsidRPr="00D17B4E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336230" w:rsidRPr="00D17B4E" w:rsidTr="00522654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10.1.</w:t>
                  </w:r>
                </w:p>
              </w:tc>
            </w:tr>
          </w:tbl>
          <w:p w:rsidR="00336230" w:rsidRPr="00D17B4E" w:rsidRDefault="00336230" w:rsidP="00365665">
            <w:pPr>
              <w:widowControl w:val="0"/>
              <w:autoSpaceDE w:val="0"/>
              <w:autoSpaceDN w:val="0"/>
              <w:jc w:val="both"/>
            </w:pPr>
            <w:r w:rsidRPr="00D17B4E">
              <w:t>Выводы о достижении целей регулирования:</w:t>
            </w:r>
            <w:r w:rsidR="00365665">
              <w:t xml:space="preserve"> </w:t>
            </w:r>
            <w:r w:rsidR="00365665" w:rsidRPr="00365665">
              <w:rPr>
                <w:i/>
              </w:rPr>
              <w:t>нет</w:t>
            </w:r>
          </w:p>
        </w:tc>
      </w:tr>
      <w:tr w:rsidR="00336230" w:rsidRPr="00D17B4E" w:rsidTr="00522654">
        <w:trPr>
          <w:trHeight w:val="714"/>
        </w:trPr>
        <w:tc>
          <w:tcPr>
            <w:tcW w:w="9624" w:type="dxa"/>
            <w:shd w:val="clear" w:color="auto" w:fill="auto"/>
          </w:tcPr>
          <w:p w:rsidR="00336230" w:rsidRPr="00BB249E" w:rsidRDefault="00336230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D17B4E" w:rsidTr="00522654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</w:t>
                  </w:r>
                  <w:r>
                    <w:rPr>
                      <w:bCs/>
                      <w:kern w:val="32"/>
                      <w:lang w:eastAsia="en-US"/>
                    </w:rPr>
                    <w:t>2</w:t>
                  </w: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.</w:t>
                  </w:r>
                </w:p>
              </w:tc>
            </w:tr>
          </w:tbl>
          <w:p w:rsidR="00336230" w:rsidRPr="00D17B4E" w:rsidRDefault="00336230" w:rsidP="00522654">
            <w:pPr>
              <w:widowControl w:val="0"/>
              <w:autoSpaceDE w:val="0"/>
              <w:autoSpaceDN w:val="0"/>
              <w:jc w:val="both"/>
            </w:pPr>
            <w:r w:rsidRPr="00D17B4E">
              <w:t>Выводы об эффективности решения проблем и преодоления связанных с ними негативных эффектов:</w:t>
            </w:r>
            <w:r w:rsidR="00365665">
              <w:t xml:space="preserve">  </w:t>
            </w:r>
            <w:r w:rsidR="00365665" w:rsidRPr="00365665">
              <w:rPr>
                <w:i/>
              </w:rPr>
              <w:t>нет</w:t>
            </w:r>
          </w:p>
        </w:tc>
      </w:tr>
      <w:tr w:rsidR="00336230" w:rsidRPr="00D17B4E" w:rsidTr="00522654">
        <w:trPr>
          <w:trHeight w:val="548"/>
        </w:trPr>
        <w:tc>
          <w:tcPr>
            <w:tcW w:w="9624" w:type="dxa"/>
            <w:shd w:val="clear" w:color="auto" w:fill="auto"/>
          </w:tcPr>
          <w:p w:rsidR="00336230" w:rsidRPr="00BB249E" w:rsidRDefault="00336230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BB249E">
              <w:rPr>
                <w:i/>
              </w:rPr>
              <w:t>(описание)</w:t>
            </w:r>
          </w:p>
        </w:tc>
      </w:tr>
      <w:tr w:rsidR="00336230" w:rsidRPr="00D17B4E" w:rsidTr="00522654">
        <w:tc>
          <w:tcPr>
            <w:tcW w:w="9624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10.3.</w:t>
                  </w:r>
                </w:p>
              </w:tc>
            </w:tr>
          </w:tbl>
          <w:p w:rsidR="00336230" w:rsidRPr="00D17B4E" w:rsidRDefault="00336230" w:rsidP="00522654">
            <w:pPr>
              <w:widowControl w:val="0"/>
              <w:autoSpaceDE w:val="0"/>
              <w:autoSpaceDN w:val="0"/>
              <w:jc w:val="both"/>
            </w:pPr>
            <w:r w:rsidRPr="00D17B4E">
              <w:t>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</w:tc>
      </w:tr>
      <w:tr w:rsidR="00336230" w:rsidRPr="00D17B4E" w:rsidTr="00522654">
        <w:trPr>
          <w:trHeight w:val="705"/>
        </w:trPr>
        <w:tc>
          <w:tcPr>
            <w:tcW w:w="9624" w:type="dxa"/>
            <w:shd w:val="clear" w:color="auto" w:fill="auto"/>
          </w:tcPr>
          <w:p w:rsidR="00336230" w:rsidRPr="00BB249E" w:rsidRDefault="00365665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65665">
              <w:rPr>
                <w:i/>
              </w:rPr>
              <w:t>нет</w:t>
            </w:r>
          </w:p>
        </w:tc>
      </w:tr>
      <w:tr w:rsidR="00336230" w:rsidRPr="00D17B4E" w:rsidTr="00522654">
        <w:tc>
          <w:tcPr>
            <w:tcW w:w="9624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04"/>
            </w:tblGrid>
            <w:tr w:rsidR="00336230" w:rsidTr="00522654">
              <w:tc>
                <w:tcPr>
                  <w:tcW w:w="7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10.4.</w:t>
                  </w:r>
                </w:p>
              </w:tc>
            </w:tr>
          </w:tbl>
          <w:p w:rsidR="00336230" w:rsidRPr="00D17B4E" w:rsidRDefault="00336230" w:rsidP="00522654">
            <w:pPr>
              <w:widowControl w:val="0"/>
              <w:autoSpaceDE w:val="0"/>
              <w:autoSpaceDN w:val="0"/>
              <w:jc w:val="both"/>
            </w:pPr>
            <w:r w:rsidRPr="00D17B4E">
              <w:tab/>
              <w:t>Иные выводы о фактическом воздействии регулирования:</w:t>
            </w:r>
          </w:p>
        </w:tc>
      </w:tr>
      <w:tr w:rsidR="00336230" w:rsidRPr="00D17B4E" w:rsidTr="00522654">
        <w:trPr>
          <w:trHeight w:val="624"/>
        </w:trPr>
        <w:tc>
          <w:tcPr>
            <w:tcW w:w="9624" w:type="dxa"/>
            <w:shd w:val="clear" w:color="auto" w:fill="auto"/>
          </w:tcPr>
          <w:p w:rsidR="00336230" w:rsidRPr="00BB249E" w:rsidRDefault="00365665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65665">
              <w:rPr>
                <w:i/>
              </w:rPr>
              <w:t>нет</w:t>
            </w:r>
          </w:p>
        </w:tc>
      </w:tr>
    </w:tbl>
    <w:p w:rsidR="00336230" w:rsidRDefault="00336230" w:rsidP="003C372D">
      <w:pPr>
        <w:widowControl w:val="0"/>
        <w:tabs>
          <w:tab w:val="left" w:pos="426"/>
        </w:tabs>
        <w:autoSpaceDE w:val="0"/>
        <w:autoSpaceDN w:val="0"/>
        <w:rPr>
          <w:b/>
          <w:sz w:val="28"/>
          <w:szCs w:val="28"/>
        </w:rPr>
      </w:pPr>
    </w:p>
    <w:p w:rsidR="00336230" w:rsidRPr="003C372D" w:rsidRDefault="00336230" w:rsidP="003C372D">
      <w:pPr>
        <w:widowControl w:val="0"/>
        <w:tabs>
          <w:tab w:val="left" w:pos="426"/>
        </w:tabs>
        <w:autoSpaceDE w:val="0"/>
        <w:autoSpaceDN w:val="0"/>
        <w:jc w:val="center"/>
        <w:rPr>
          <w:rFonts w:eastAsia="Times New Roman"/>
          <w:b/>
          <w:bCs/>
          <w:kern w:val="32"/>
          <w:sz w:val="28"/>
          <w:szCs w:val="28"/>
          <w:lang w:eastAsia="en-US"/>
        </w:rPr>
      </w:pPr>
      <w:r w:rsidRPr="00731EE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 w:rsidRPr="00731EE7">
        <w:rPr>
          <w:rFonts w:eastAsia="Times New Roman"/>
          <w:b/>
          <w:bCs/>
          <w:kern w:val="32"/>
          <w:sz w:val="28"/>
          <w:szCs w:val="28"/>
          <w:lang w:eastAsia="en-US"/>
        </w:rPr>
        <w:t>Сведения о проведении публичного обсуждения нормативного правового акта и заключения</w:t>
      </w: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56"/>
        <w:gridCol w:w="4768"/>
      </w:tblGrid>
      <w:tr w:rsidR="00336230" w:rsidTr="00522654">
        <w:trPr>
          <w:trHeight w:val="1230"/>
        </w:trPr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52265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11.1.</w:t>
                  </w:r>
                </w:p>
              </w:tc>
            </w:tr>
          </w:tbl>
          <w:p w:rsidR="00336230" w:rsidRDefault="00336230" w:rsidP="00522654">
            <w:pPr>
              <w:widowControl w:val="0"/>
              <w:autoSpaceDE w:val="0"/>
              <w:autoSpaceDN w:val="0"/>
            </w:pPr>
            <w:r>
              <w:t>Срок проведения публичных консультаций:</w:t>
            </w:r>
          </w:p>
          <w:p w:rsidR="00336230" w:rsidRDefault="00336230" w:rsidP="00522654">
            <w:pPr>
              <w:widowControl w:val="0"/>
              <w:autoSpaceDE w:val="0"/>
              <w:autoSpaceDN w:val="0"/>
            </w:pPr>
            <w:r>
              <w:t>начало: «</w:t>
            </w:r>
            <w:r>
              <w:tab/>
              <w:t>»</w:t>
            </w:r>
            <w:r>
              <w:tab/>
              <w:t>201_год;</w:t>
            </w:r>
          </w:p>
          <w:p w:rsidR="00336230" w:rsidRDefault="00336230" w:rsidP="00522654">
            <w:pPr>
              <w:widowControl w:val="0"/>
              <w:autoSpaceDE w:val="0"/>
              <w:autoSpaceDN w:val="0"/>
            </w:pPr>
            <w:r>
              <w:t xml:space="preserve">окончание: «___ » </w:t>
            </w:r>
            <w:r>
              <w:tab/>
              <w:t>201_год</w:t>
            </w:r>
          </w:p>
        </w:tc>
      </w:tr>
      <w:tr w:rsidR="00336230" w:rsidTr="00522654">
        <w:trPr>
          <w:trHeight w:val="2113"/>
        </w:trPr>
        <w:tc>
          <w:tcPr>
            <w:tcW w:w="4856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52265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11.2.</w:t>
                  </w:r>
                </w:p>
              </w:tc>
            </w:tr>
          </w:tbl>
          <w:p w:rsidR="00336230" w:rsidRDefault="00336230" w:rsidP="00522654">
            <w:pPr>
              <w:keepNext/>
              <w:keepLines/>
              <w:ind w:left="1026" w:hanging="851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Описание иных форм проведения публичного обсуждения с указанием способа предоставления мнений:</w:t>
            </w:r>
          </w:p>
          <w:p w:rsidR="00336230" w:rsidRDefault="00336230" w:rsidP="00522654">
            <w:pPr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_____________________________________</w:t>
            </w:r>
          </w:p>
          <w:p w:rsidR="00336230" w:rsidRDefault="00336230" w:rsidP="00522654">
            <w:pPr>
              <w:widowControl w:val="0"/>
              <w:autoSpaceDE w:val="0"/>
              <w:autoSpaceDN w:val="0"/>
            </w:pPr>
            <w:r>
              <w:rPr>
                <w:rFonts w:eastAsia="Times New Roman"/>
                <w:bCs/>
                <w:lang w:eastAsia="en-US"/>
              </w:rPr>
              <w:t>(форма №)</w:t>
            </w:r>
          </w:p>
        </w:tc>
        <w:tc>
          <w:tcPr>
            <w:tcW w:w="4768" w:type="dxa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52265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11.3.</w:t>
                  </w:r>
                </w:p>
              </w:tc>
            </w:tr>
          </w:tbl>
          <w:p w:rsidR="00336230" w:rsidRDefault="00336230" w:rsidP="00522654">
            <w:pPr>
              <w:keepNext/>
              <w:keepLines/>
              <w:jc w:val="center"/>
              <w:outlineLvl w:val="0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Сроки проведения:</w:t>
            </w:r>
          </w:p>
          <w:p w:rsidR="00336230" w:rsidRDefault="00336230" w:rsidP="00522654">
            <w:pPr>
              <w:keepNext/>
              <w:ind w:left="884"/>
              <w:jc w:val="center"/>
              <w:outlineLvl w:val="0"/>
              <w:rPr>
                <w:rFonts w:eastAsia="Times New Roman"/>
                <w:bCs/>
                <w:kern w:val="32"/>
                <w:lang w:eastAsia="x-none"/>
              </w:rPr>
            </w:pPr>
          </w:p>
          <w:p w:rsidR="00336230" w:rsidRDefault="00336230" w:rsidP="00522654">
            <w:pPr>
              <w:keepNext/>
              <w:ind w:left="33" w:firstLine="96"/>
              <w:jc w:val="center"/>
              <w:outlineLvl w:val="0"/>
              <w:rPr>
                <w:rFonts w:eastAsia="Times New Roman"/>
                <w:bCs/>
                <w:kern w:val="32"/>
                <w:lang w:val="x-none" w:eastAsia="x-none"/>
              </w:rPr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начало: «__»_____ 201__г.</w:t>
            </w:r>
          </w:p>
          <w:p w:rsidR="00336230" w:rsidRDefault="00336230" w:rsidP="00522654">
            <w:pPr>
              <w:widowControl w:val="0"/>
              <w:autoSpaceDE w:val="0"/>
              <w:autoSpaceDN w:val="0"/>
              <w:jc w:val="center"/>
            </w:pPr>
            <w:r>
              <w:rPr>
                <w:rFonts w:eastAsia="Times New Roman"/>
                <w:bCs/>
                <w:kern w:val="32"/>
                <w:lang w:val="x-none" w:eastAsia="x-none"/>
              </w:rPr>
              <w:t>окончание: «__»______ 201__г</w:t>
            </w:r>
            <w:r>
              <w:rPr>
                <w:rFonts w:eastAsia="Times New Roman"/>
                <w:b/>
                <w:bCs/>
                <w:kern w:val="32"/>
                <w:lang w:val="x-none" w:eastAsia="x-none"/>
              </w:rPr>
              <w:t>.</w:t>
            </w:r>
          </w:p>
        </w:tc>
      </w:tr>
      <w:tr w:rsidR="00336230" w:rsidTr="00522654">
        <w:tc>
          <w:tcPr>
            <w:tcW w:w="9624" w:type="dxa"/>
            <w:gridSpan w:val="2"/>
            <w:shd w:val="clear" w:color="auto" w:fill="auto"/>
            <w:vAlign w:val="center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52265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11.4.</w:t>
                  </w:r>
                </w:p>
              </w:tc>
            </w:tr>
          </w:tbl>
          <w:p w:rsidR="00336230" w:rsidRDefault="00336230" w:rsidP="00522654">
            <w:pPr>
              <w:widowControl w:val="0"/>
              <w:autoSpaceDE w:val="0"/>
              <w:autoSpaceDN w:val="0"/>
              <w:jc w:val="both"/>
            </w:pPr>
            <w:r w:rsidRPr="00D17B4E">
              <w:t>Иные сведения о проведении публичных консультаций</w:t>
            </w:r>
          </w:p>
        </w:tc>
      </w:tr>
      <w:tr w:rsidR="00336230" w:rsidTr="00522654">
        <w:trPr>
          <w:trHeight w:val="620"/>
        </w:trPr>
        <w:tc>
          <w:tcPr>
            <w:tcW w:w="9624" w:type="dxa"/>
            <w:gridSpan w:val="2"/>
            <w:shd w:val="clear" w:color="auto" w:fill="auto"/>
          </w:tcPr>
          <w:p w:rsidR="00336230" w:rsidRDefault="00336230" w:rsidP="00522654">
            <w:pPr>
              <w:widowControl w:val="0"/>
              <w:autoSpaceDE w:val="0"/>
              <w:autoSpaceDN w:val="0"/>
              <w:jc w:val="center"/>
            </w:pPr>
            <w:r w:rsidRPr="00BB249E">
              <w:rPr>
                <w:i/>
              </w:rPr>
              <w:t>(описание)</w:t>
            </w:r>
          </w:p>
        </w:tc>
      </w:tr>
      <w:tr w:rsidR="00336230" w:rsidTr="00522654">
        <w:tc>
          <w:tcPr>
            <w:tcW w:w="9624" w:type="dxa"/>
            <w:gridSpan w:val="2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52265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11.5.</w:t>
                  </w:r>
                </w:p>
              </w:tc>
            </w:tr>
          </w:tbl>
          <w:p w:rsidR="00336230" w:rsidRDefault="00336230" w:rsidP="00522654">
            <w:pPr>
              <w:widowControl w:val="0"/>
              <w:autoSpaceDE w:val="0"/>
              <w:autoSpaceDN w:val="0"/>
              <w:jc w:val="both"/>
            </w:pPr>
            <w:r w:rsidRPr="00D17B4E">
              <w:t>Полный электронный адрес размещения нормативного правового акта и заключения о результатах проведения экспертизы на официальном сайте:</w:t>
            </w:r>
          </w:p>
        </w:tc>
      </w:tr>
      <w:tr w:rsidR="00336230" w:rsidTr="00522654">
        <w:trPr>
          <w:trHeight w:val="761"/>
        </w:trPr>
        <w:tc>
          <w:tcPr>
            <w:tcW w:w="9624" w:type="dxa"/>
            <w:gridSpan w:val="2"/>
            <w:shd w:val="clear" w:color="auto" w:fill="auto"/>
          </w:tcPr>
          <w:p w:rsidR="00365665" w:rsidRPr="00365665" w:rsidRDefault="00365665" w:rsidP="00365665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65665">
              <w:rPr>
                <w:i/>
              </w:rPr>
              <w:t>https://www.aramilgo.ru/npa/assessment</w:t>
            </w:r>
          </w:p>
          <w:p w:rsidR="00336230" w:rsidRPr="00D17B4E" w:rsidRDefault="00365665" w:rsidP="00365665">
            <w:pPr>
              <w:widowControl w:val="0"/>
              <w:autoSpaceDE w:val="0"/>
              <w:autoSpaceDN w:val="0"/>
              <w:jc w:val="center"/>
            </w:pPr>
            <w:r w:rsidRPr="00365665">
              <w:rPr>
                <w:i/>
              </w:rPr>
              <w:t>http://regulation.midural.ru/projects#npa=5170</w:t>
            </w:r>
          </w:p>
        </w:tc>
      </w:tr>
    </w:tbl>
    <w:p w:rsidR="00336230" w:rsidRDefault="00336230" w:rsidP="003C372D">
      <w:pPr>
        <w:widowControl w:val="0"/>
        <w:tabs>
          <w:tab w:val="left" w:pos="426"/>
        </w:tabs>
        <w:autoSpaceDE w:val="0"/>
        <w:autoSpaceDN w:val="0"/>
        <w:rPr>
          <w:b/>
          <w:sz w:val="28"/>
          <w:szCs w:val="28"/>
        </w:rPr>
      </w:pPr>
    </w:p>
    <w:p w:rsidR="00336230" w:rsidRPr="00731EE7" w:rsidRDefault="00336230" w:rsidP="00336230">
      <w:pPr>
        <w:widowControl w:val="0"/>
        <w:tabs>
          <w:tab w:val="left" w:pos="426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731EE7">
        <w:rPr>
          <w:b/>
          <w:sz w:val="28"/>
          <w:szCs w:val="28"/>
        </w:rPr>
        <w:t>.</w:t>
      </w:r>
      <w:r w:rsidRPr="00731EE7">
        <w:rPr>
          <w:b/>
          <w:sz w:val="28"/>
          <w:szCs w:val="28"/>
        </w:rPr>
        <w:tab/>
      </w:r>
      <w:r>
        <w:rPr>
          <w:b/>
          <w:sz w:val="28"/>
          <w:szCs w:val="28"/>
        </w:rPr>
        <w:t>П</w:t>
      </w:r>
      <w:r w:rsidRPr="00731EE7">
        <w:rPr>
          <w:b/>
          <w:sz w:val="28"/>
          <w:szCs w:val="28"/>
        </w:rPr>
        <w:t>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p w:rsidR="00336230" w:rsidRDefault="00336230" w:rsidP="00336230">
      <w:pPr>
        <w:widowControl w:val="0"/>
        <w:autoSpaceDE w:val="0"/>
        <w:autoSpaceDN w:val="0"/>
        <w:ind w:firstLine="709"/>
        <w:jc w:val="center"/>
      </w:pPr>
    </w:p>
    <w:tbl>
      <w:tblPr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37"/>
        <w:gridCol w:w="3237"/>
        <w:gridCol w:w="3150"/>
      </w:tblGrid>
      <w:tr w:rsidR="00336230" w:rsidTr="00522654"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52265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12.1.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Содержание предложения</w:t>
            </w:r>
          </w:p>
        </w:tc>
        <w:tc>
          <w:tcPr>
            <w:tcW w:w="3237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52265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12.2.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Цель предложения</w:t>
            </w:r>
          </w:p>
        </w:tc>
        <w:tc>
          <w:tcPr>
            <w:tcW w:w="3150" w:type="dxa"/>
            <w:shd w:val="clear" w:color="auto" w:fill="auto"/>
          </w:tcPr>
          <w:tbl>
            <w:tblPr>
              <w:tblpPr w:leftFromText="181" w:rightFromText="181" w:bottomFromText="160" w:vertAnchor="text" w:tblpY="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6"/>
            </w:tblGrid>
            <w:tr w:rsidR="00336230" w:rsidTr="00522654">
              <w:tc>
                <w:tcPr>
                  <w:tcW w:w="8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6230" w:rsidRDefault="00336230" w:rsidP="00522654">
                  <w:pPr>
                    <w:keepNext/>
                    <w:tabs>
                      <w:tab w:val="left" w:pos="267"/>
                    </w:tabs>
                    <w:jc w:val="center"/>
                    <w:outlineLvl w:val="0"/>
                    <w:rPr>
                      <w:rFonts w:eastAsia="Times New Roman"/>
                      <w:bCs/>
                      <w:kern w:val="32"/>
                      <w:lang w:eastAsia="en-US"/>
                    </w:rPr>
                  </w:pPr>
                  <w:r>
                    <w:rPr>
                      <w:rFonts w:eastAsia="Times New Roman"/>
                      <w:bCs/>
                      <w:kern w:val="32"/>
                      <w:lang w:eastAsia="en-US"/>
                    </w:rPr>
                    <w:t>12.3.</w:t>
                  </w:r>
                </w:p>
              </w:tc>
            </w:tr>
          </w:tbl>
          <w:p w:rsidR="00336230" w:rsidRPr="00B92FA2" w:rsidRDefault="00336230" w:rsidP="00522654">
            <w:pPr>
              <w:pStyle w:val="4"/>
              <w:shd w:val="clear" w:color="auto" w:fill="auto"/>
              <w:spacing w:after="0" w:line="240" w:lineRule="auto"/>
              <w:ind w:firstLine="0"/>
              <w:rPr>
                <w:sz w:val="24"/>
                <w:szCs w:val="24"/>
              </w:rPr>
            </w:pPr>
            <w:r w:rsidRPr="00B92FA2">
              <w:rPr>
                <w:rStyle w:val="2"/>
                <w:rFonts w:eastAsia="Calibri"/>
                <w:sz w:val="24"/>
                <w:szCs w:val="24"/>
              </w:rPr>
              <w:t>Реквизиты нормативного правового акта, требующего внесения изменений</w:t>
            </w:r>
          </w:p>
        </w:tc>
      </w:tr>
      <w:tr w:rsidR="00336230" w:rsidTr="00522654">
        <w:tc>
          <w:tcPr>
            <w:tcW w:w="3237" w:type="dxa"/>
            <w:shd w:val="clear" w:color="auto" w:fill="auto"/>
          </w:tcPr>
          <w:p w:rsidR="00336230" w:rsidRPr="00365665" w:rsidRDefault="00365665" w:rsidP="00522654">
            <w:pPr>
              <w:widowControl w:val="0"/>
              <w:autoSpaceDE w:val="0"/>
              <w:autoSpaceDN w:val="0"/>
              <w:rPr>
                <w:i/>
              </w:rPr>
            </w:pPr>
            <w:r w:rsidRPr="00365665">
              <w:rPr>
                <w:i/>
              </w:rPr>
              <w:t>Отмена административного регламента и разработка нового</w:t>
            </w:r>
          </w:p>
        </w:tc>
        <w:tc>
          <w:tcPr>
            <w:tcW w:w="3237" w:type="dxa"/>
            <w:shd w:val="clear" w:color="auto" w:fill="auto"/>
          </w:tcPr>
          <w:p w:rsidR="00336230" w:rsidRPr="00365665" w:rsidRDefault="00365665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65665">
              <w:rPr>
                <w:i/>
              </w:rPr>
              <w:t>Приведение административного регламента в соответствие  с действующим законодательством</w:t>
            </w:r>
          </w:p>
        </w:tc>
        <w:tc>
          <w:tcPr>
            <w:tcW w:w="3150" w:type="dxa"/>
            <w:shd w:val="clear" w:color="auto" w:fill="auto"/>
          </w:tcPr>
          <w:p w:rsidR="00336230" w:rsidRPr="00365665" w:rsidRDefault="00365665" w:rsidP="00522654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365665">
              <w:rPr>
                <w:i/>
              </w:rPr>
              <w:t>постановление Администрации Арамильского городского округа от 14.10.2013 № 421 «Об утверждении Административного регламента предоставления муниципальной услуги «Выдача специального разрешения на движение по автомобильным дорогам местного значения муниципального образования Свердловской области транспортного средства, осуществляющего перевозки тяжеловесных и (или) крупногабаритных грузов»</w:t>
            </w:r>
          </w:p>
        </w:tc>
      </w:tr>
      <w:tr w:rsidR="00336230" w:rsidTr="00522654">
        <w:tc>
          <w:tcPr>
            <w:tcW w:w="3237" w:type="dxa"/>
            <w:shd w:val="clear" w:color="auto" w:fill="auto"/>
          </w:tcPr>
          <w:p w:rsidR="00336230" w:rsidRPr="00D17B4E" w:rsidRDefault="00336230" w:rsidP="00522654">
            <w:pPr>
              <w:widowControl w:val="0"/>
              <w:autoSpaceDE w:val="0"/>
              <w:autoSpaceDN w:val="0"/>
            </w:pPr>
          </w:p>
        </w:tc>
        <w:tc>
          <w:tcPr>
            <w:tcW w:w="3237" w:type="dxa"/>
            <w:shd w:val="clear" w:color="auto" w:fill="auto"/>
          </w:tcPr>
          <w:p w:rsidR="00336230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3150" w:type="dxa"/>
            <w:shd w:val="clear" w:color="auto" w:fill="auto"/>
          </w:tcPr>
          <w:p w:rsidR="00336230" w:rsidRDefault="00336230" w:rsidP="00522654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336230" w:rsidRDefault="00336230" w:rsidP="00336230">
      <w:pPr>
        <w:widowControl w:val="0"/>
        <w:autoSpaceDE w:val="0"/>
        <w:autoSpaceDN w:val="0"/>
        <w:ind w:firstLine="709"/>
        <w:jc w:val="both"/>
      </w:pPr>
    </w:p>
    <w:p w:rsidR="00336230" w:rsidRPr="00CF7974" w:rsidRDefault="00336230" w:rsidP="0033623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CF7974">
        <w:rPr>
          <w:sz w:val="28"/>
          <w:szCs w:val="28"/>
        </w:rPr>
        <w:t>Приложение 1. Сводка предложений по результатам проведения публичных консультаций по проекту заключения о результатах экспертизы (наименование и реквизиты нормативного правового акта).</w:t>
      </w:r>
    </w:p>
    <w:p w:rsidR="00336230" w:rsidRPr="00CF7974" w:rsidRDefault="00336230" w:rsidP="0033623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336230" w:rsidRPr="00CF7974" w:rsidRDefault="00336230" w:rsidP="00336230">
      <w:pPr>
        <w:jc w:val="both"/>
        <w:rPr>
          <w:rFonts w:eastAsia="Times New Roman"/>
          <w:sz w:val="28"/>
          <w:szCs w:val="28"/>
        </w:rPr>
      </w:pPr>
      <w:r w:rsidRPr="00CF7974">
        <w:rPr>
          <w:rFonts w:eastAsia="Times New Roman"/>
          <w:sz w:val="28"/>
          <w:szCs w:val="28"/>
        </w:rPr>
        <w:t>Указание на иные приложения (по усмотрению составителя заключения о результатах экспертизы).</w:t>
      </w:r>
    </w:p>
    <w:p w:rsidR="00336230" w:rsidRDefault="00336230" w:rsidP="00336230">
      <w:pPr>
        <w:jc w:val="both"/>
        <w:rPr>
          <w:rFonts w:eastAsia="Times New Roman"/>
        </w:rPr>
      </w:pPr>
    </w:p>
    <w:tbl>
      <w:tblPr>
        <w:tblW w:w="10065" w:type="dxa"/>
        <w:tblInd w:w="-34" w:type="dxa"/>
        <w:tblLook w:val="01E0" w:firstRow="1" w:lastRow="1" w:firstColumn="1" w:lastColumn="1" w:noHBand="0" w:noVBand="0"/>
      </w:tblPr>
      <w:tblGrid>
        <w:gridCol w:w="3290"/>
        <w:gridCol w:w="6775"/>
      </w:tblGrid>
      <w:tr w:rsidR="00336230" w:rsidTr="00522654">
        <w:trPr>
          <w:cantSplit/>
          <w:trHeight w:val="1022"/>
        </w:trPr>
        <w:tc>
          <w:tcPr>
            <w:tcW w:w="3290" w:type="dxa"/>
            <w:hideMark/>
          </w:tcPr>
          <w:p w:rsidR="00336230" w:rsidRPr="00F7395A" w:rsidRDefault="00336230" w:rsidP="00522654">
            <w:pPr>
              <w:rPr>
                <w:rFonts w:eastAsia="Times New Roman"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Уполномоченного органа</w:t>
            </w:r>
          </w:p>
        </w:tc>
        <w:tc>
          <w:tcPr>
            <w:tcW w:w="6775" w:type="dxa"/>
            <w:vAlign w:val="bottom"/>
          </w:tcPr>
          <w:p w:rsidR="00336230" w:rsidRDefault="00336230" w:rsidP="00522654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_______</w:t>
            </w:r>
            <w:r>
              <w:rPr>
                <w:rFonts w:eastAsia="Times New Roman"/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__________     _____________</w:t>
            </w:r>
          </w:p>
          <w:p w:rsidR="00336230" w:rsidRDefault="00336230" w:rsidP="00522654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Дата          Подпись       Расшифровка</w:t>
            </w:r>
          </w:p>
        </w:tc>
      </w:tr>
      <w:tr w:rsidR="00336230" w:rsidTr="00522654">
        <w:trPr>
          <w:cantSplit/>
          <w:trHeight w:val="1120"/>
        </w:trPr>
        <w:tc>
          <w:tcPr>
            <w:tcW w:w="3290" w:type="dxa"/>
          </w:tcPr>
          <w:p w:rsidR="00336230" w:rsidRDefault="00336230" w:rsidP="00522654">
            <w:pPr>
              <w:rPr>
                <w:sz w:val="28"/>
                <w:szCs w:val="28"/>
                <w:lang w:eastAsia="en-US"/>
              </w:rPr>
            </w:pPr>
          </w:p>
          <w:p w:rsidR="00336230" w:rsidRPr="00F7395A" w:rsidRDefault="00336230" w:rsidP="0052265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</w:t>
            </w:r>
          </w:p>
        </w:tc>
        <w:tc>
          <w:tcPr>
            <w:tcW w:w="6775" w:type="dxa"/>
            <w:vAlign w:val="bottom"/>
          </w:tcPr>
          <w:p w:rsidR="00336230" w:rsidRDefault="00336230" w:rsidP="00522654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>_______</w:t>
            </w:r>
            <w:r>
              <w:rPr>
                <w:rFonts w:eastAsia="Times New Roman"/>
                <w:sz w:val="28"/>
                <w:szCs w:val="28"/>
                <w:lang w:val="en-US" w:eastAsia="en-US"/>
              </w:rPr>
              <w:t xml:space="preserve">   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__________     _____________ </w:t>
            </w:r>
          </w:p>
          <w:p w:rsidR="00336230" w:rsidRDefault="00336230" w:rsidP="00522654">
            <w:pPr>
              <w:rPr>
                <w:rFonts w:eastAsia="Times New Roman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sz w:val="28"/>
                <w:szCs w:val="28"/>
                <w:lang w:eastAsia="en-US"/>
              </w:rPr>
              <w:t xml:space="preserve">  Дата          Подпись       Расшифровка</w:t>
            </w:r>
          </w:p>
        </w:tc>
      </w:tr>
    </w:tbl>
    <w:p w:rsidR="00736DEE" w:rsidRDefault="00736DEE" w:rsidP="003C372D">
      <w:pPr>
        <w:widowControl w:val="0"/>
        <w:autoSpaceDE w:val="0"/>
        <w:autoSpaceDN w:val="0"/>
      </w:pPr>
    </w:p>
    <w:sectPr w:rsidR="00736DEE" w:rsidSect="003C372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502E" w:rsidRDefault="007C502E" w:rsidP="003C372D">
      <w:r>
        <w:separator/>
      </w:r>
    </w:p>
  </w:endnote>
  <w:endnote w:type="continuationSeparator" w:id="0">
    <w:p w:rsidR="007C502E" w:rsidRDefault="007C502E" w:rsidP="003C3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502E" w:rsidRDefault="007C502E" w:rsidP="003C372D">
      <w:r>
        <w:separator/>
      </w:r>
    </w:p>
  </w:footnote>
  <w:footnote w:type="continuationSeparator" w:id="0">
    <w:p w:rsidR="007C502E" w:rsidRDefault="007C502E" w:rsidP="003C3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C0"/>
    <w:rsid w:val="00002CDD"/>
    <w:rsid w:val="00141ACF"/>
    <w:rsid w:val="001A0442"/>
    <w:rsid w:val="001D4B39"/>
    <w:rsid w:val="001F3145"/>
    <w:rsid w:val="002204FA"/>
    <w:rsid w:val="00220A16"/>
    <w:rsid w:val="00240D84"/>
    <w:rsid w:val="002C084D"/>
    <w:rsid w:val="00336230"/>
    <w:rsid w:val="00365665"/>
    <w:rsid w:val="003974A4"/>
    <w:rsid w:val="003C372D"/>
    <w:rsid w:val="003F59D9"/>
    <w:rsid w:val="00522654"/>
    <w:rsid w:val="00585CD2"/>
    <w:rsid w:val="005D21C0"/>
    <w:rsid w:val="00616C56"/>
    <w:rsid w:val="006C67D7"/>
    <w:rsid w:val="00736DEE"/>
    <w:rsid w:val="007837BB"/>
    <w:rsid w:val="007C502E"/>
    <w:rsid w:val="00935246"/>
    <w:rsid w:val="009E6656"/>
    <w:rsid w:val="00B92FA2"/>
    <w:rsid w:val="00C504EA"/>
    <w:rsid w:val="00E02F32"/>
    <w:rsid w:val="00EA3D8D"/>
    <w:rsid w:val="00F1152F"/>
    <w:rsid w:val="00F22AC6"/>
    <w:rsid w:val="00F2541F"/>
    <w:rsid w:val="00FA5F45"/>
    <w:rsid w:val="00FC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042091-3351-441F-BC01-82F9427A1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8D"/>
    <w:rPr>
      <w:rFonts w:ascii="Times New Roman" w:eastAsia="SimSu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4"/>
    <w:rsid w:val="00EA3D8D"/>
    <w:rPr>
      <w:spacing w:val="3"/>
      <w:sz w:val="21"/>
      <w:szCs w:val="21"/>
      <w:shd w:val="clear" w:color="auto" w:fill="FFFFFF"/>
    </w:rPr>
  </w:style>
  <w:style w:type="character" w:customStyle="1" w:styleId="2">
    <w:name w:val="Основной текст2"/>
    <w:rsid w:val="00EA3D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paragraph" w:customStyle="1" w:styleId="4">
    <w:name w:val="Основной текст4"/>
    <w:basedOn w:val="a"/>
    <w:link w:val="a3"/>
    <w:rsid w:val="00EA3D8D"/>
    <w:pPr>
      <w:widowControl w:val="0"/>
      <w:shd w:val="clear" w:color="auto" w:fill="FFFFFF"/>
      <w:spacing w:after="180" w:line="0" w:lineRule="atLeast"/>
      <w:ind w:hanging="980"/>
    </w:pPr>
    <w:rPr>
      <w:rFonts w:ascii="Calibri" w:eastAsia="Calibri" w:hAnsi="Calibri"/>
      <w:spacing w:val="3"/>
      <w:sz w:val="21"/>
      <w:szCs w:val="21"/>
      <w:lang w:eastAsia="en-US"/>
    </w:rPr>
  </w:style>
  <w:style w:type="paragraph" w:customStyle="1" w:styleId="ConsPlusNormal">
    <w:name w:val="ConsPlusNormal"/>
    <w:rsid w:val="003362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1">
    <w:name w:val="Основной текст1"/>
    <w:rsid w:val="00FC59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a4">
    <w:name w:val="Hyperlink"/>
    <w:uiPriority w:val="99"/>
    <w:unhideWhenUsed/>
    <w:rsid w:val="00E02F3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C37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C372D"/>
    <w:rPr>
      <w:rFonts w:ascii="Times New Roman" w:eastAsia="SimSun" w:hAnsi="Times New Roman"/>
      <w:sz w:val="24"/>
      <w:szCs w:val="24"/>
      <w:lang w:eastAsia="zh-CN"/>
    </w:rPr>
  </w:style>
  <w:style w:type="paragraph" w:styleId="a7">
    <w:name w:val="footer"/>
    <w:basedOn w:val="a"/>
    <w:link w:val="a8"/>
    <w:uiPriority w:val="99"/>
    <w:unhideWhenUsed/>
    <w:rsid w:val="003C37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C372D"/>
    <w:rPr>
      <w:rFonts w:ascii="Times New Roman" w:eastAsia="SimSu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C3CA5-16D2-447D-9CA4-A371BBD33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2150</Words>
  <Characters>12255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Замятина Ирина Владимировна</dc:creator>
  <cp:keywords/>
  <dc:description/>
  <cp:lastModifiedBy>Олег Печеркин</cp:lastModifiedBy>
  <cp:revision>2</cp:revision>
  <dcterms:created xsi:type="dcterms:W3CDTF">2019-10-14T16:45:00Z</dcterms:created>
  <dcterms:modified xsi:type="dcterms:W3CDTF">2019-10-14T16:45:00Z</dcterms:modified>
</cp:coreProperties>
</file>