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7810" w:rsidRDefault="00667810">
      <w:pPr>
        <w:spacing w:line="150" w:lineRule="exact"/>
      </w:pPr>
      <w:bookmarkStart w:id="0" w:name="_GoBack"/>
      <w:bookmarkEnd w:id="0"/>
    </w:p>
    <w:tbl>
      <w:tblPr>
        <w:tblW w:w="103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265"/>
        <w:gridCol w:w="3255"/>
        <w:gridCol w:w="885"/>
        <w:gridCol w:w="5214"/>
        <w:gridCol w:w="705"/>
      </w:tblGrid>
      <w:tr w:rsidR="00667810" w:rsidTr="009C7664">
        <w:trPr>
          <w:trHeight w:val="375"/>
        </w:trPr>
        <w:tc>
          <w:tcPr>
            <w:tcW w:w="20" w:type="dxa"/>
          </w:tcPr>
          <w:p w:rsidR="00667810" w:rsidRDefault="00667810">
            <w:pPr>
              <w:rPr>
                <w:rStyle w:val="FakeCharacterStyle"/>
              </w:rPr>
            </w:pPr>
          </w:p>
        </w:tc>
        <w:tc>
          <w:tcPr>
            <w:tcW w:w="10324" w:type="dxa"/>
            <w:gridSpan w:val="5"/>
            <w:shd w:val="clear" w:color="auto" w:fill="auto"/>
          </w:tcPr>
          <w:p w:rsidR="00FC69F3" w:rsidRPr="001A2C24" w:rsidRDefault="00FC69F3" w:rsidP="00FC69F3">
            <w:pPr>
              <w:ind w:left="-285" w:right="-99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                                                 </w:t>
            </w:r>
            <w:r w:rsidRPr="001A2C24">
              <w:rPr>
                <w:rFonts w:ascii="Liberation Serif" w:hAnsi="Liberation Serif" w:cs="Liberation Serif"/>
                <w:sz w:val="28"/>
                <w:szCs w:val="28"/>
              </w:rPr>
              <w:t xml:space="preserve">Приложение к постановлению </w:t>
            </w:r>
          </w:p>
          <w:p w:rsidR="00FC69F3" w:rsidRPr="001A2C24" w:rsidRDefault="00FC69F3" w:rsidP="00FC69F3">
            <w:pPr>
              <w:ind w:right="-99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A2C24"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                                              Администрации Арамильского</w:t>
            </w:r>
          </w:p>
          <w:p w:rsidR="00FC69F3" w:rsidRPr="001A2C24" w:rsidRDefault="00FC69F3" w:rsidP="00FC69F3">
            <w:pPr>
              <w:ind w:right="-99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A2C24"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                         городского округа</w:t>
            </w:r>
          </w:p>
          <w:p w:rsidR="00FC69F3" w:rsidRPr="001A2C24" w:rsidRDefault="00FC69F3" w:rsidP="00FC69F3">
            <w:pPr>
              <w:pStyle w:val="3"/>
              <w:ind w:right="-990"/>
              <w:jc w:val="center"/>
              <w:rPr>
                <w:rFonts w:ascii="Liberation Serif" w:hAnsi="Liberation Serif" w:cs="Liberation Serif"/>
                <w:szCs w:val="28"/>
              </w:rPr>
            </w:pPr>
            <w:r w:rsidRPr="001A2C24">
              <w:rPr>
                <w:rFonts w:ascii="Liberation Serif" w:hAnsi="Liberation Serif" w:cs="Liberation Serif"/>
                <w:szCs w:val="28"/>
              </w:rPr>
              <w:t xml:space="preserve">                                                                          от _________ № ___________</w:t>
            </w:r>
          </w:p>
          <w:p w:rsidR="00FC69F3" w:rsidRPr="00F66082" w:rsidRDefault="00FC69F3" w:rsidP="00FC69F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C69F3" w:rsidRPr="00F66082" w:rsidRDefault="00FC69F3" w:rsidP="00FC69F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6082">
              <w:rPr>
                <w:rFonts w:ascii="Liberation Serif" w:hAnsi="Liberation Serif" w:cs="Liberation Serif"/>
                <w:sz w:val="28"/>
                <w:szCs w:val="28"/>
              </w:rPr>
              <w:t>Муниципальная программа</w:t>
            </w:r>
          </w:p>
          <w:p w:rsidR="00FC69F3" w:rsidRPr="00F66082" w:rsidRDefault="00FC69F3" w:rsidP="00FC69F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6082">
              <w:rPr>
                <w:rFonts w:ascii="Liberation Serif" w:hAnsi="Liberation Serif" w:cs="Liberation Serif"/>
                <w:sz w:val="28"/>
                <w:szCs w:val="28"/>
              </w:rPr>
              <w:t xml:space="preserve">«Развитие информационного пространства, кадровой политики в системе муниципального управления, архивной деятельности </w:t>
            </w:r>
          </w:p>
          <w:p w:rsidR="00FC69F3" w:rsidRPr="00F66082" w:rsidRDefault="00FC69F3" w:rsidP="00FC69F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6082">
              <w:rPr>
                <w:rFonts w:ascii="Liberation Serif" w:hAnsi="Liberation Serif" w:cs="Liberation Serif"/>
                <w:sz w:val="28"/>
                <w:szCs w:val="28"/>
              </w:rPr>
              <w:t>в Арамильском городском округе до 2028 года»</w:t>
            </w:r>
          </w:p>
          <w:p w:rsidR="00FC69F3" w:rsidRDefault="00FC69F3">
            <w:pPr>
              <w:pStyle w:val="ParagraphStyle0"/>
              <w:rPr>
                <w:rStyle w:val="CharacterStyle0"/>
                <w:rFonts w:eastAsia="Calibri"/>
              </w:rPr>
            </w:pPr>
          </w:p>
          <w:p w:rsidR="00667810" w:rsidRPr="00FC69F3" w:rsidRDefault="004E0DA5">
            <w:pPr>
              <w:pStyle w:val="ParagraphStyle0"/>
              <w:rPr>
                <w:rStyle w:val="CharacterStyle0"/>
                <w:rFonts w:eastAsia="Calibri"/>
                <w:b w:val="0"/>
              </w:rPr>
            </w:pPr>
            <w:r w:rsidRPr="00FC69F3">
              <w:rPr>
                <w:rStyle w:val="CharacterStyle0"/>
                <w:rFonts w:eastAsia="Calibri"/>
                <w:b w:val="0"/>
              </w:rPr>
              <w:t>ПАСПОРТ</w:t>
            </w:r>
          </w:p>
        </w:tc>
      </w:tr>
      <w:tr w:rsidR="00667810" w:rsidTr="009C7664">
        <w:trPr>
          <w:trHeight w:val="375"/>
        </w:trPr>
        <w:tc>
          <w:tcPr>
            <w:tcW w:w="20" w:type="dxa"/>
          </w:tcPr>
          <w:p w:rsidR="00667810" w:rsidRDefault="00667810">
            <w:pPr>
              <w:rPr>
                <w:rStyle w:val="FakeCharacterStyle"/>
              </w:rPr>
            </w:pPr>
          </w:p>
        </w:tc>
        <w:tc>
          <w:tcPr>
            <w:tcW w:w="10324" w:type="dxa"/>
            <w:gridSpan w:val="5"/>
            <w:shd w:val="clear" w:color="auto" w:fill="auto"/>
          </w:tcPr>
          <w:p w:rsidR="00667810" w:rsidRPr="00FC69F3" w:rsidRDefault="004E0DA5">
            <w:pPr>
              <w:pStyle w:val="ParagraphStyle0"/>
              <w:rPr>
                <w:rStyle w:val="CharacterStyle0"/>
                <w:rFonts w:eastAsia="Calibri"/>
                <w:b w:val="0"/>
              </w:rPr>
            </w:pPr>
            <w:r w:rsidRPr="00FC69F3">
              <w:rPr>
                <w:rStyle w:val="CharacterStyle0"/>
                <w:rFonts w:eastAsia="Calibri"/>
                <w:b w:val="0"/>
              </w:rPr>
              <w:t>муниципальной программы</w:t>
            </w:r>
          </w:p>
        </w:tc>
      </w:tr>
      <w:tr w:rsidR="00667810" w:rsidTr="009C7664">
        <w:trPr>
          <w:trHeight w:val="990"/>
        </w:trPr>
        <w:tc>
          <w:tcPr>
            <w:tcW w:w="20" w:type="dxa"/>
          </w:tcPr>
          <w:p w:rsidR="00667810" w:rsidRDefault="00667810">
            <w:pPr>
              <w:rPr>
                <w:rStyle w:val="FakeCharacterStyle"/>
              </w:rPr>
            </w:pPr>
          </w:p>
        </w:tc>
        <w:tc>
          <w:tcPr>
            <w:tcW w:w="10324" w:type="dxa"/>
            <w:gridSpan w:val="5"/>
            <w:shd w:val="clear" w:color="auto" w:fill="auto"/>
          </w:tcPr>
          <w:p w:rsidR="00667810" w:rsidRPr="00FC69F3" w:rsidRDefault="004E0DA5">
            <w:pPr>
              <w:pStyle w:val="ParagraphStyle0"/>
              <w:rPr>
                <w:rStyle w:val="CharacterStyle0"/>
                <w:rFonts w:eastAsia="Calibri"/>
                <w:b w:val="0"/>
              </w:rPr>
            </w:pPr>
            <w:r w:rsidRPr="00FC69F3">
              <w:rPr>
                <w:rStyle w:val="CharacterStyle0"/>
                <w:rFonts w:eastAsia="Calibri"/>
                <w:b w:val="0"/>
              </w:rPr>
              <w:t>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  <w:p w:rsidR="00FC69F3" w:rsidRPr="00FC69F3" w:rsidRDefault="00FC69F3">
            <w:pPr>
              <w:pStyle w:val="ParagraphStyle0"/>
              <w:rPr>
                <w:rStyle w:val="CharacterStyle0"/>
                <w:rFonts w:eastAsia="Calibri"/>
                <w:b w:val="0"/>
              </w:rPr>
            </w:pPr>
          </w:p>
        </w:tc>
      </w:tr>
      <w:tr w:rsidR="00667810" w:rsidRPr="009C7664" w:rsidTr="009C7664">
        <w:trPr>
          <w:gridAfter w:val="1"/>
          <w:wAfter w:w="705" w:type="dxa"/>
          <w:trHeight w:val="133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"/>
              <w:jc w:val="both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09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667810" w:rsidRPr="009C7664" w:rsidTr="009C7664">
        <w:trPr>
          <w:gridAfter w:val="1"/>
          <w:wAfter w:w="705" w:type="dxa"/>
          <w:trHeight w:val="100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"/>
              <w:jc w:val="both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3"/>
              <w:jc w:val="both"/>
              <w:rPr>
                <w:rStyle w:val="CharacterStyle3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21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667810" w:rsidRPr="009C7664" w:rsidTr="009C7664">
        <w:trPr>
          <w:gridAfter w:val="1"/>
          <w:wAfter w:w="705" w:type="dxa"/>
          <w:trHeight w:val="161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"/>
              <w:jc w:val="both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09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2"/>
                <w:rFonts w:ascii="Liberation Serif" w:eastAsia="Calibri" w:hAnsi="Liberation Serif" w:cs="Liberation Serif"/>
              </w:rPr>
              <w:t>Цель 1. Формирование и эффективное использование кадрового потенциала в системе муниципального управления, направленного на обеспечение социально-экономического развития Арамильского городского округа</w:t>
            </w:r>
          </w:p>
        </w:tc>
      </w:tr>
      <w:tr w:rsidR="00667810" w:rsidRPr="009C7664" w:rsidTr="009C7664">
        <w:trPr>
          <w:gridAfter w:val="1"/>
          <w:wAfter w:w="705" w:type="dxa"/>
          <w:trHeight w:val="132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1.1. Совершенствование правового регулирования муниципального управления Арамильского городского округа в сфере кадровой политики</w:t>
            </w:r>
          </w:p>
        </w:tc>
      </w:tr>
      <w:tr w:rsidR="00667810" w:rsidRPr="009C7664" w:rsidTr="009C7664">
        <w:trPr>
          <w:gridAfter w:val="1"/>
          <w:wAfter w:w="705" w:type="dxa"/>
          <w:trHeight w:val="228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1.2. Создание эффективной целостной системы и механизмов формирования и функционирования кадрового состава в сфере муниципальной службы в Арамильском городском округе на основе внедрения новых принципов кадровой политики</w:t>
            </w:r>
          </w:p>
        </w:tc>
      </w:tr>
      <w:tr w:rsidR="00667810" w:rsidRPr="009C7664" w:rsidTr="009C7664">
        <w:trPr>
          <w:gridAfter w:val="1"/>
          <w:wAfter w:w="705" w:type="dxa"/>
          <w:trHeight w:val="992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1.3. Обеспечение взаимосвязи государственной гражданской и муниципальной службы в Арамильском городском округе</w:t>
            </w:r>
          </w:p>
        </w:tc>
      </w:tr>
      <w:tr w:rsidR="00667810" w:rsidRPr="009C7664" w:rsidTr="009C7664">
        <w:trPr>
          <w:gridAfter w:val="1"/>
          <w:wAfter w:w="705" w:type="dxa"/>
          <w:trHeight w:val="99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Цель 2. Искоренение причин и условий, порождающих коррупцию на территории Арамильского городского округа</w:t>
            </w:r>
          </w:p>
        </w:tc>
      </w:tr>
      <w:tr w:rsidR="00667810" w:rsidRPr="009C7664" w:rsidTr="009C7664">
        <w:trPr>
          <w:gridAfter w:val="1"/>
          <w:wAfter w:w="705" w:type="dxa"/>
          <w:trHeight w:val="100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2.1. Обеспечение выполнения на территории Арамильского городского округа норм антикоррупционного поведения</w:t>
            </w:r>
          </w:p>
        </w:tc>
      </w:tr>
      <w:tr w:rsidR="00667810" w:rsidRPr="009C7664" w:rsidTr="009C7664">
        <w:trPr>
          <w:gridAfter w:val="1"/>
          <w:wAfter w:w="705" w:type="dxa"/>
          <w:trHeight w:val="67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Цель 3. Обеспечение безопасных условий и охраны труда, пожарной безопасности</w:t>
            </w:r>
          </w:p>
        </w:tc>
      </w:tr>
      <w:tr w:rsidR="00667810" w:rsidRPr="009C7664" w:rsidTr="009C7664">
        <w:trPr>
          <w:gridAfter w:val="1"/>
          <w:wAfter w:w="705" w:type="dxa"/>
          <w:trHeight w:val="132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3.1. Организация работы по обеспечению выполнения муниципальными служащими и работниками требований охраны труда и пожарной безопасности</w:t>
            </w:r>
          </w:p>
        </w:tc>
      </w:tr>
      <w:tr w:rsidR="00667810" w:rsidRPr="009C7664" w:rsidTr="009C7664">
        <w:trPr>
          <w:gridAfter w:val="1"/>
          <w:wAfter w:w="705" w:type="dxa"/>
          <w:trHeight w:val="195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3.2. Обеспечение контроля за соблюдением муниципальными служащими и работниками законов и иных нормативных правовых актов об охране труда и пожарной безопасности, локальных нормативных актов муниципального органа</w:t>
            </w:r>
          </w:p>
        </w:tc>
      </w:tr>
      <w:tr w:rsidR="00667810" w:rsidRPr="009C7664" w:rsidTr="009C7664">
        <w:trPr>
          <w:gridAfter w:val="1"/>
          <w:wAfter w:w="705" w:type="dxa"/>
          <w:trHeight w:val="1997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3.3. Организация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 и пожарной безопасности</w:t>
            </w:r>
          </w:p>
        </w:tc>
      </w:tr>
      <w:tr w:rsidR="00667810" w:rsidRPr="009C7664" w:rsidTr="009C7664">
        <w:trPr>
          <w:gridAfter w:val="1"/>
          <w:wAfter w:w="705" w:type="dxa"/>
          <w:trHeight w:val="1557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3.4. Информирование и консультирование муниципальных служащих и работников Администрации Арамильского городского округа, в том числе руководителя по вопросам охраны труда</w:t>
            </w:r>
          </w:p>
        </w:tc>
      </w:tr>
      <w:tr w:rsidR="00667810" w:rsidRPr="009C7664" w:rsidTr="009C7664">
        <w:trPr>
          <w:gridAfter w:val="1"/>
          <w:wAfter w:w="705" w:type="dxa"/>
          <w:trHeight w:val="163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3.5. Изучение и распространение передового опыта по охране труда и пожарной безопасности, пропаганда вопросов охраны труда и пожарной безопасности</w:t>
            </w:r>
          </w:p>
        </w:tc>
      </w:tr>
      <w:tr w:rsidR="00667810" w:rsidRPr="009C7664" w:rsidTr="00437FE9">
        <w:trPr>
          <w:gridAfter w:val="1"/>
          <w:wAfter w:w="705" w:type="dxa"/>
          <w:trHeight w:val="1556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Цель 4. Совершенствование информационно-технической инфраструктуры Арамильского городского округа, в т.ч. для предоставления государственных и муниципальных услуг в электронном виде</w:t>
            </w:r>
          </w:p>
        </w:tc>
      </w:tr>
      <w:tr w:rsidR="00667810" w:rsidRPr="009C7664" w:rsidTr="009C7664">
        <w:trPr>
          <w:gridAfter w:val="1"/>
          <w:wAfter w:w="705" w:type="dxa"/>
          <w:trHeight w:val="156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4.1. Применение информационно-телекоммуникационных технологий в деятельности органов местного самоуправления и формирование электронного правительства Арамильского городского округа</w:t>
            </w:r>
          </w:p>
        </w:tc>
      </w:tr>
      <w:tr w:rsidR="00667810" w:rsidRPr="009C7664" w:rsidTr="009C7664">
        <w:trPr>
          <w:gridAfter w:val="1"/>
          <w:wAfter w:w="705" w:type="dxa"/>
          <w:trHeight w:val="228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Цель 5. Содействие осуществлению государственной политики на региональном и местном уровне, пропаганда общечеловеческих норм морали, уважения к законности и правопорядку, содействие развитию федерализма и местного самоуправления, расширение рынка газеты</w:t>
            </w:r>
          </w:p>
        </w:tc>
      </w:tr>
      <w:tr w:rsidR="00667810" w:rsidRPr="009C7664" w:rsidTr="009C7664">
        <w:trPr>
          <w:gridAfter w:val="1"/>
          <w:wAfter w:w="705" w:type="dxa"/>
          <w:trHeight w:val="165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5.1. Оперативное и профессиональное информирование читателей о важнейших событиях политической, экономической и культурной жизни Арамильского городского округа, города, области, страны</w:t>
            </w:r>
          </w:p>
        </w:tc>
      </w:tr>
      <w:tr w:rsidR="00667810" w:rsidRPr="009C7664" w:rsidTr="009C7664">
        <w:trPr>
          <w:gridAfter w:val="1"/>
          <w:wAfter w:w="705" w:type="dxa"/>
          <w:trHeight w:val="163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Цель 6. Развитие информационного потенциала Архивного фонда Свердловской области на территории Арамильского городского округа и Архивного фонда Арамильского городского округа</w:t>
            </w:r>
          </w:p>
        </w:tc>
      </w:tr>
      <w:tr w:rsidR="00667810" w:rsidRPr="009C7664" w:rsidTr="009C7664">
        <w:trPr>
          <w:gridAfter w:val="1"/>
          <w:wAfter w:w="705" w:type="dxa"/>
          <w:trHeight w:val="99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6.1. Удовлетворение потребностей пользователей в архивной информации в Арамильском городском округе</w:t>
            </w:r>
          </w:p>
        </w:tc>
      </w:tr>
      <w:tr w:rsidR="00667810" w:rsidRPr="009C7664" w:rsidTr="009C7664">
        <w:trPr>
          <w:gridAfter w:val="1"/>
          <w:wAfter w:w="705" w:type="dxa"/>
          <w:trHeight w:val="165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6.2. Сохранение и повышение безопасности хранения архивных документов как части историко-культурного достояния и информационных ресурсов Арамильского городского округа</w:t>
            </w:r>
          </w:p>
        </w:tc>
      </w:tr>
      <w:tr w:rsidR="00667810" w:rsidRPr="009C7664" w:rsidTr="009C7664">
        <w:trPr>
          <w:gridAfter w:val="1"/>
          <w:wAfter w:w="705" w:type="dxa"/>
          <w:trHeight w:val="196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Задача 6.3. 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667810" w:rsidRPr="009C7664" w:rsidTr="009C7664">
        <w:trPr>
          <w:gridAfter w:val="1"/>
          <w:wAfter w:w="705" w:type="dxa"/>
          <w:trHeight w:val="99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551AD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6.4. Организация деятельности МКУ </w:t>
            </w:r>
            <w:r w:rsidR="009551AD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Муниципальный архив Арамильского городского округа</w:t>
            </w:r>
            <w:r w:rsidR="009551AD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</w:p>
        </w:tc>
      </w:tr>
      <w:tr w:rsidR="00667810" w:rsidRPr="009C7664" w:rsidTr="009C7664">
        <w:trPr>
          <w:gridAfter w:val="1"/>
          <w:wAfter w:w="705" w:type="dxa"/>
          <w:trHeight w:val="133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"/>
              <w:jc w:val="both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09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Default="004E0DA5" w:rsidP="009C7664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2"/>
                <w:rFonts w:ascii="Liberation Serif" w:eastAsia="Calibri" w:hAnsi="Liberation Serif" w:cs="Liberation Serif"/>
              </w:rPr>
              <w:t>1. Развитие кадровой политики в системе муниципального управления</w:t>
            </w:r>
          </w:p>
          <w:p w:rsidR="000F448C" w:rsidRDefault="000F448C" w:rsidP="009C7664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2. Противодействие коррупции</w:t>
            </w:r>
          </w:p>
          <w:p w:rsidR="000F448C" w:rsidRPr="009C7664" w:rsidRDefault="000F448C" w:rsidP="00A73258">
            <w:pPr>
              <w:pStyle w:val="ParagraphStyle2"/>
              <w:ind w:left="4" w:firstLine="24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3. Реализация мероприятий по улучшению условий охраны труда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4. Развитие информационного пространства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5. Развитие средств массовой информации</w:t>
            </w:r>
          </w:p>
        </w:tc>
      </w:tr>
      <w:tr w:rsidR="00667810" w:rsidRPr="009C7664" w:rsidTr="009C7664">
        <w:trPr>
          <w:gridAfter w:val="1"/>
          <w:wAfter w:w="705" w:type="dxa"/>
          <w:trHeight w:val="100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6. Обеспечение деятельности по комплектованию, учету, хранению и использованию архивных документов</w:t>
            </w:r>
          </w:p>
        </w:tc>
      </w:tr>
      <w:tr w:rsidR="00667810" w:rsidRPr="009C7664" w:rsidTr="009551AD">
        <w:trPr>
          <w:gridAfter w:val="1"/>
          <w:wAfter w:w="705" w:type="dxa"/>
          <w:trHeight w:val="3189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A73258">
            <w:pPr>
              <w:pStyle w:val="ParagraphStyle7"/>
              <w:ind w:left="0"/>
              <w:jc w:val="both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09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8"/>
                <w:rFonts w:ascii="Liberation Serif" w:eastAsia="Calibri" w:hAnsi="Liberation Serif" w:cs="Liberation Serif"/>
              </w:rPr>
              <w:t>1. Доля муниципальных нормативных правовых актов Арамильского городского округа, регулирующих вопросы прохождения муниципальной службы и правоотношения в сфере противодействия коррупции, которые приведены в соответствие с изменениями, вносимыми в федеральное законодательство и законодательство Свердловской области о прохождении муниципальной службы и противодействии коррупции</w:t>
            </w:r>
          </w:p>
        </w:tc>
      </w:tr>
      <w:tr w:rsidR="00667810" w:rsidRPr="009C7664" w:rsidTr="009C7664">
        <w:trPr>
          <w:gridAfter w:val="1"/>
          <w:wAfter w:w="705" w:type="dxa"/>
          <w:trHeight w:val="100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2. Укомплектованность органов местного самоуправления Арамильского городского округа квалифицированными кадрами</w:t>
            </w:r>
          </w:p>
        </w:tc>
      </w:tr>
      <w:tr w:rsidR="00667810" w:rsidRPr="009C7664" w:rsidTr="009C7664">
        <w:trPr>
          <w:gridAfter w:val="1"/>
          <w:wAfter w:w="705" w:type="dxa"/>
          <w:trHeight w:val="232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A7325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3. Доля муниципальных служащих, нуждающихся в повышении квалификации и прошедших повышение квалификации за счет средств муниципального и областного бюджета, от запланированного количества муниципальных служащих, нуждающихся в повышении квалификации</w:t>
            </w:r>
          </w:p>
        </w:tc>
      </w:tr>
      <w:tr w:rsidR="00667810" w:rsidRPr="009C7664" w:rsidTr="00A73258">
        <w:trPr>
          <w:gridAfter w:val="1"/>
          <w:wAfter w:w="705" w:type="dxa"/>
          <w:trHeight w:val="989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4. Доля муниципальных служащих, прошедших аттестацию, от количества муниципальных служащих, подлежащих аттестации</w:t>
            </w:r>
          </w:p>
        </w:tc>
      </w:tr>
      <w:tr w:rsidR="00667810" w:rsidRPr="009C7664" w:rsidTr="00A73258">
        <w:trPr>
          <w:gridAfter w:val="1"/>
          <w:wAfter w:w="705" w:type="dxa"/>
          <w:trHeight w:val="157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5. Доля муниципальных служащих Арамильского городского округа, прошедших обучение за счет муниципального и областного бюджета от запланированного количества муниципальных служащих (не менее)</w:t>
            </w:r>
          </w:p>
        </w:tc>
      </w:tr>
      <w:tr w:rsidR="00667810" w:rsidRPr="009C7664" w:rsidTr="00A73258">
        <w:trPr>
          <w:gridAfter w:val="1"/>
          <w:wAfter w:w="705" w:type="dxa"/>
          <w:trHeight w:val="1663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6. Доля лиц, получающих пенсию за выслугу лет, в общей численности указанной категории лиц, имеющих право на выплату указанной пенсии и обратившихся в Администрацию Арамильского городского округа</w:t>
            </w:r>
          </w:p>
        </w:tc>
      </w:tr>
      <w:tr w:rsidR="00667810" w:rsidRPr="009C7664" w:rsidTr="00A73258">
        <w:trPr>
          <w:gridAfter w:val="1"/>
          <w:wAfter w:w="705" w:type="dxa"/>
          <w:trHeight w:val="198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7. Доля проведенных заседаний комиссии по противодействию коррупции информация о результатах которых размещена на официальном сайте Арамильского городского округа, от запланированного количества заседаний комиссии</w:t>
            </w:r>
          </w:p>
        </w:tc>
      </w:tr>
      <w:tr w:rsidR="00667810" w:rsidRPr="009C7664" w:rsidTr="009C7664">
        <w:trPr>
          <w:gridAfter w:val="1"/>
          <w:wAfter w:w="705" w:type="dxa"/>
          <w:trHeight w:val="69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8. Наличие показателя эффективности антикоррупционных мер</w:t>
            </w:r>
          </w:p>
        </w:tc>
      </w:tr>
      <w:tr w:rsidR="00667810" w:rsidRPr="009C7664" w:rsidTr="00A73258">
        <w:trPr>
          <w:gridAfter w:val="1"/>
          <w:wAfter w:w="705" w:type="dxa"/>
          <w:trHeight w:val="1582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9. Доля проведенных заседаний комиссии по противодействию коррупции информация о результатах которых размещена на официальном сайте Арамильского городского округа, от общего количества заседаний комиссий</w:t>
            </w:r>
          </w:p>
        </w:tc>
      </w:tr>
      <w:tr w:rsidR="00667810" w:rsidRPr="009C7664" w:rsidTr="00437FE9">
        <w:trPr>
          <w:gridAfter w:val="1"/>
          <w:wAfter w:w="705" w:type="dxa"/>
          <w:trHeight w:val="1933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73258" w:rsidRPr="009C7664" w:rsidRDefault="004E0DA5" w:rsidP="00A73258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10. Доля проведенных заседаний комиссии по соблюдению требований к служебному поведению по поступившей информации о несоблюдении требований к служебному поведению от общего количества проведенных заседаний комиссии</w:t>
            </w:r>
          </w:p>
        </w:tc>
      </w:tr>
      <w:tr w:rsidR="00667810" w:rsidRPr="009C7664" w:rsidTr="00A73258">
        <w:trPr>
          <w:gridAfter w:val="1"/>
          <w:wAfter w:w="705" w:type="dxa"/>
          <w:trHeight w:val="3257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11. Доля муниципальных служащих, своевременно предоставивших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супруги (супруга) и несовершеннолетних детей, от общего числа муниципальных служащих, обязанн</w:t>
            </w:r>
            <w:r w:rsidR="00A73258">
              <w:rPr>
                <w:rStyle w:val="CharacterStyle10"/>
                <w:rFonts w:ascii="Liberation Serif" w:eastAsia="Calibri" w:hAnsi="Liberation Serif" w:cs="Liberation Serif"/>
              </w:rPr>
              <w:t>ых предоставлять такие сведения</w:t>
            </w:r>
          </w:p>
        </w:tc>
      </w:tr>
      <w:tr w:rsidR="00667810" w:rsidRPr="009C7664" w:rsidTr="009C7664">
        <w:trPr>
          <w:gridAfter w:val="1"/>
          <w:wAfter w:w="705" w:type="dxa"/>
          <w:trHeight w:val="100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12. Доля лиц, прошедших обучение по охране труда и пожарной безопасности от запланированного количества</w:t>
            </w:r>
          </w:p>
        </w:tc>
      </w:tr>
      <w:tr w:rsidR="00667810" w:rsidRPr="009C7664" w:rsidTr="00A73258">
        <w:trPr>
          <w:gridAfter w:val="1"/>
          <w:wAfter w:w="705" w:type="dxa"/>
          <w:trHeight w:val="1276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13. Наличие оборудованного информационного стенда охраны труда и уголка по пожарной безопасности в Администрации Арамильского городского округа</w:t>
            </w:r>
          </w:p>
        </w:tc>
      </w:tr>
      <w:tr w:rsidR="00667810" w:rsidRPr="009C7664" w:rsidTr="00A73258">
        <w:trPr>
          <w:gridAfter w:val="1"/>
          <w:wAfter w:w="705" w:type="dxa"/>
          <w:trHeight w:val="68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14. Доля лиц, прошедших диспансеризацию, от запланированного количества</w:t>
            </w:r>
          </w:p>
        </w:tc>
      </w:tr>
      <w:tr w:rsidR="00667810" w:rsidRPr="009C7664" w:rsidTr="00A73258">
        <w:trPr>
          <w:gridAfter w:val="1"/>
          <w:wAfter w:w="705" w:type="dxa"/>
          <w:trHeight w:val="992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15. Доля лиц, прошедших периодический медицинский осмотр от запланированного количества</w:t>
            </w:r>
          </w:p>
        </w:tc>
      </w:tr>
      <w:tr w:rsidR="00667810" w:rsidRPr="009C7664" w:rsidTr="009C7664">
        <w:trPr>
          <w:gridAfter w:val="1"/>
          <w:wAfter w:w="705" w:type="dxa"/>
          <w:trHeight w:val="100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16. Доля прошедших специализированную оценку условий труда рабочих мест от общего количества рабочих мест</w:t>
            </w:r>
          </w:p>
        </w:tc>
      </w:tr>
      <w:tr w:rsidR="00667810" w:rsidRPr="009C7664" w:rsidTr="00A73258">
        <w:trPr>
          <w:gridAfter w:val="1"/>
          <w:wAfter w:w="705" w:type="dxa"/>
          <w:trHeight w:val="978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17. Доля органов местного самоуправления, подключенных к единой сети передачи данных Правительства Свердловской области</w:t>
            </w:r>
          </w:p>
        </w:tc>
      </w:tr>
      <w:tr w:rsidR="00667810" w:rsidRPr="009C7664" w:rsidTr="009C7664">
        <w:trPr>
          <w:gridAfter w:val="1"/>
          <w:wAfter w:w="705" w:type="dxa"/>
          <w:trHeight w:val="133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18. Доля компьютерного парка органов местного самоуправления и муниципальных казенных учреждений со сроком эксплуатации не более 7 лет</w:t>
            </w:r>
          </w:p>
        </w:tc>
      </w:tr>
      <w:tr w:rsidR="00667810" w:rsidRPr="009C7664" w:rsidTr="00A73258">
        <w:trPr>
          <w:gridAfter w:val="1"/>
          <w:wAfter w:w="705" w:type="dxa"/>
          <w:trHeight w:val="657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19. Доля муниципальных учреждений, имеющих широкополосный доступ к сети Интернет</w:t>
            </w:r>
          </w:p>
        </w:tc>
      </w:tr>
      <w:tr w:rsidR="00667810" w:rsidRPr="009C7664" w:rsidTr="00437FE9">
        <w:trPr>
          <w:gridAfter w:val="1"/>
          <w:wAfter w:w="705" w:type="dxa"/>
          <w:trHeight w:val="988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20. Доля используемого специализированного системного программного обеспечения от общего количества</w:t>
            </w:r>
          </w:p>
        </w:tc>
      </w:tr>
      <w:tr w:rsidR="00667810" w:rsidRPr="009C7664" w:rsidTr="009C7664">
        <w:trPr>
          <w:gridAfter w:val="1"/>
          <w:wAfter w:w="705" w:type="dxa"/>
          <w:trHeight w:val="133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21. Доля рабочих мест с внедренной защитой персональных данных от общего количества рабочих мест, подлежащих защите персональных данных</w:t>
            </w:r>
          </w:p>
        </w:tc>
      </w:tr>
      <w:tr w:rsidR="00667810" w:rsidRPr="009C7664" w:rsidTr="009C7664">
        <w:trPr>
          <w:gridAfter w:val="1"/>
          <w:wAfter w:w="705" w:type="dxa"/>
          <w:trHeight w:val="102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551A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 xml:space="preserve">22. Количество выпусков городской еженедельной газеты </w:t>
            </w:r>
            <w:r w:rsidR="009551AD">
              <w:rPr>
                <w:rStyle w:val="CharacterStyle10"/>
                <w:rFonts w:ascii="Liberation Serif" w:eastAsia="Calibri" w:hAnsi="Liberation Serif" w:cs="Liberation Serif"/>
              </w:rPr>
              <w:t>«</w:t>
            </w: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Арамильские вести</w:t>
            </w:r>
            <w:r w:rsidR="009551AD">
              <w:rPr>
                <w:rStyle w:val="CharacterStyle10"/>
                <w:rFonts w:ascii="Liberation Serif" w:eastAsia="Calibri" w:hAnsi="Liberation Serif" w:cs="Liberation Serif"/>
              </w:rPr>
              <w:t>»</w:t>
            </w: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 xml:space="preserve"> в календарном году</w:t>
            </w:r>
          </w:p>
        </w:tc>
      </w:tr>
      <w:tr w:rsidR="00667810" w:rsidRPr="009C7664" w:rsidTr="00A73258">
        <w:trPr>
          <w:gridAfter w:val="1"/>
          <w:wAfter w:w="705" w:type="dxa"/>
          <w:trHeight w:val="232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551A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 xml:space="preserve">23. Тираж выпуска городской еженедельной газеты </w:t>
            </w:r>
            <w:r w:rsidR="009551AD">
              <w:rPr>
                <w:rStyle w:val="CharacterStyle10"/>
                <w:rFonts w:ascii="Liberation Serif" w:eastAsia="Calibri" w:hAnsi="Liberation Serif" w:cs="Liberation Serif"/>
              </w:rPr>
              <w:t>«</w:t>
            </w: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Арамильские вести</w:t>
            </w:r>
            <w:r w:rsidR="009551AD">
              <w:rPr>
                <w:rStyle w:val="CharacterStyle10"/>
                <w:rFonts w:ascii="Liberation Serif" w:eastAsia="Calibri" w:hAnsi="Liberation Serif" w:cs="Liberation Serif"/>
              </w:rPr>
              <w:t>»</w:t>
            </w: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 xml:space="preserve"> и приложений к ней в печатном и электронном виде для официального опубликования правовых актов органов местного самоуправления Арамильского городского округа, иной официальной информации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24. Выход газетных номеров по графику</w:t>
            </w:r>
          </w:p>
        </w:tc>
      </w:tr>
      <w:tr w:rsidR="00667810" w:rsidRPr="009C7664" w:rsidTr="009C7664">
        <w:trPr>
          <w:gridAfter w:val="1"/>
          <w:wAfter w:w="705" w:type="dxa"/>
          <w:trHeight w:val="168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25. 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</w:t>
            </w:r>
          </w:p>
        </w:tc>
      </w:tr>
      <w:tr w:rsidR="00667810" w:rsidRPr="009C7664" w:rsidTr="009C7664">
        <w:trPr>
          <w:gridAfter w:val="1"/>
          <w:wAfter w:w="705" w:type="dxa"/>
          <w:trHeight w:val="133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26. Доля числа пользователей архивными документами, удовлетворенными качеством муниципальных услуг, оказываемых в сфере архивного дела</w:t>
            </w:r>
          </w:p>
        </w:tc>
      </w:tr>
      <w:tr w:rsidR="00667810" w:rsidRPr="009C7664" w:rsidTr="00A73258">
        <w:trPr>
          <w:gridAfter w:val="1"/>
          <w:wAfter w:w="705" w:type="dxa"/>
          <w:trHeight w:val="1584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27. Доля принятых на постоянное хранение архивных документов, от общего количества документов Архивного фонда Российской Федерации, подлежащих приему в установленные законодательством сроки за год</w:t>
            </w:r>
          </w:p>
        </w:tc>
      </w:tr>
      <w:tr w:rsidR="00667810" w:rsidRPr="009C7664" w:rsidTr="00A73258">
        <w:trPr>
          <w:gridAfter w:val="1"/>
          <w:wAfter w:w="705" w:type="dxa"/>
          <w:trHeight w:val="1679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28. 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</w:t>
            </w:r>
          </w:p>
        </w:tc>
      </w:tr>
      <w:tr w:rsidR="00667810" w:rsidRPr="009C7664" w:rsidTr="00437FE9">
        <w:trPr>
          <w:gridAfter w:val="1"/>
          <w:wAfter w:w="705" w:type="dxa"/>
          <w:trHeight w:val="1357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29. Количество единиц хранения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667810" w:rsidRPr="009C7664" w:rsidTr="00A73258">
        <w:trPr>
          <w:gridAfter w:val="1"/>
          <w:wAfter w:w="705" w:type="dxa"/>
          <w:trHeight w:val="2264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30. Доля документов, включенных в состав Архивного фонда Российской Федерации на основании экспертизы ценности, от общего количества документов организаций, включенных в описи дел и поступивших на рассмотрение экспертно-проверочной комиссии Управления архивными Свердловской области</w:t>
            </w:r>
          </w:p>
        </w:tc>
      </w:tr>
      <w:tr w:rsidR="00667810" w:rsidRPr="009C7664" w:rsidTr="00A73258">
        <w:trPr>
          <w:gridAfter w:val="1"/>
          <w:wAfter w:w="705" w:type="dxa"/>
          <w:trHeight w:val="127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31. Доля архивных</w:t>
            </w:r>
            <w:r w:rsidR="00290811">
              <w:rPr>
                <w:rStyle w:val="CharacterStyle10"/>
                <w:rFonts w:ascii="Liberation Serif" w:eastAsia="Calibri" w:hAnsi="Liberation Serif" w:cs="Liberation Serif"/>
              </w:rPr>
              <w:t xml:space="preserve"> </w:t>
            </w: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документов, поставленных на государственный учет, от общего количества архивных документов, находящихся на хранение в муниципальном архиве</w:t>
            </w:r>
          </w:p>
        </w:tc>
      </w:tr>
      <w:tr w:rsidR="00667810" w:rsidRPr="009C7664" w:rsidTr="009C7664">
        <w:trPr>
          <w:gridAfter w:val="1"/>
          <w:wAfter w:w="705" w:type="dxa"/>
          <w:trHeight w:val="67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32. Доля муниципальных услуг, оказанных в установленные законодательством сроки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"/>
              <w:jc w:val="both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609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71 301,7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667810" w:rsidRPr="009C7664" w:rsidTr="009C7664">
        <w:trPr>
          <w:gridAfter w:val="1"/>
          <w:wAfter w:w="705" w:type="dxa"/>
          <w:trHeight w:val="165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6"/>
              <w:jc w:val="both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- 11 530,0 тыс. рублей, </w:t>
            </w: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- 11 484,1 тыс. рублей, </w:t>
            </w: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- 11 776,9 тыс. рублей, </w:t>
            </w: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- 18 450,2 тыс. рублей, </w:t>
            </w: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- 18 060,5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4"/>
              <w:jc w:val="both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>887,0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667810" w:rsidRPr="009C7664" w:rsidTr="009C7664">
        <w:trPr>
          <w:gridAfter w:val="1"/>
          <w:wAfter w:w="705" w:type="dxa"/>
          <w:trHeight w:val="168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- 179,0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- 186,0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- 194,0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- 164,0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- 164,0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>70 414,7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667810" w:rsidRPr="009C7664" w:rsidTr="009C7664">
        <w:trPr>
          <w:gridAfter w:val="1"/>
          <w:wAfter w:w="705" w:type="dxa"/>
          <w:trHeight w:val="166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- 11 351,0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- 11 298,1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- 11 582,9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- 18 286,2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- 17 896,5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667810" w:rsidRPr="009C7664" w:rsidTr="009C7664">
        <w:trPr>
          <w:gridAfter w:val="1"/>
          <w:wAfter w:w="705" w:type="dxa"/>
          <w:trHeight w:val="1665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9"/>
              <w:jc w:val="both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1"/>
              <w:jc w:val="both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9C766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7"/>
              <w:jc w:val="both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609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2B3436" w:rsidP="009C7664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hyperlink r:id="rId7" w:history="1">
              <w:r w:rsidR="002A1D02" w:rsidRPr="00742DEF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https://www.aramilgo.ru/</w:t>
              </w:r>
            </w:hyperlink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2"/>
              <w:jc w:val="both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13"/>
              <w:jc w:val="both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2"/>
              <w:jc w:val="both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13"/>
              <w:jc w:val="both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2"/>
              <w:jc w:val="both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13"/>
              <w:jc w:val="both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2"/>
              <w:jc w:val="both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60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13"/>
              <w:jc w:val="both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667810" w:rsidRPr="009C7664" w:rsidTr="009C7664">
        <w:trPr>
          <w:gridAfter w:val="1"/>
          <w:wAfter w:w="705" w:type="dxa"/>
          <w:trHeight w:val="360"/>
        </w:trPr>
        <w:tc>
          <w:tcPr>
            <w:tcW w:w="285" w:type="dxa"/>
            <w:gridSpan w:val="2"/>
          </w:tcPr>
          <w:p w:rsidR="00667810" w:rsidRPr="009C7664" w:rsidRDefault="00667810" w:rsidP="009C7664">
            <w:pPr>
              <w:jc w:val="both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4E0DA5" w:rsidP="009C7664">
            <w:pPr>
              <w:pStyle w:val="ParagraphStyle14"/>
              <w:jc w:val="both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9C7664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609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7810" w:rsidRPr="009C7664" w:rsidRDefault="00667810" w:rsidP="009C7664">
            <w:pPr>
              <w:pStyle w:val="ParagraphStyle15"/>
              <w:jc w:val="both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:rsidR="00FC69F3" w:rsidRPr="009C7664" w:rsidRDefault="00FC69F3" w:rsidP="009C7664">
      <w:pPr>
        <w:spacing w:line="15" w:lineRule="exact"/>
        <w:jc w:val="both"/>
        <w:rPr>
          <w:rFonts w:ascii="Liberation Serif" w:hAnsi="Liberation Serif" w:cs="Liberation Serif"/>
        </w:rPr>
      </w:pPr>
    </w:p>
    <w:p w:rsidR="00FC69F3" w:rsidRPr="00A73258" w:rsidRDefault="00FC69F3" w:rsidP="009C7664">
      <w:pPr>
        <w:tabs>
          <w:tab w:val="left" w:pos="915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E61083" w:rsidRPr="00F66082" w:rsidRDefault="00E61083" w:rsidP="00E61083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b w:val="0"/>
          <w:sz w:val="28"/>
          <w:szCs w:val="28"/>
        </w:rPr>
      </w:pPr>
      <w:r w:rsidRPr="00F66082">
        <w:rPr>
          <w:rFonts w:ascii="Liberation Serif" w:hAnsi="Liberation Serif" w:cs="Liberation Serif"/>
          <w:b w:val="0"/>
          <w:sz w:val="28"/>
          <w:szCs w:val="28"/>
        </w:rPr>
        <w:t xml:space="preserve">Раздел 1. </w:t>
      </w:r>
      <w:r>
        <w:rPr>
          <w:rFonts w:ascii="Liberation Serif" w:hAnsi="Liberation Serif" w:cs="Liberation Serif"/>
          <w:b w:val="0"/>
          <w:sz w:val="28"/>
          <w:szCs w:val="28"/>
        </w:rPr>
        <w:t xml:space="preserve">Характеристика и анализ текущего состояния сферы реализации муниципальной программы </w:t>
      </w:r>
    </w:p>
    <w:p w:rsidR="00E61083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E61083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5059EE">
        <w:rPr>
          <w:rFonts w:ascii="Liberation Serif" w:hAnsi="Liberation Serif" w:cs="Liberation Serif"/>
          <w:sz w:val="28"/>
          <w:szCs w:val="28"/>
        </w:rPr>
        <w:t xml:space="preserve">Кадровая политика в системе муниципального управления в </w:t>
      </w:r>
    </w:p>
    <w:p w:rsidR="00E61083" w:rsidRPr="005059EE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5059EE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</w:p>
    <w:p w:rsidR="00E61083" w:rsidRPr="004748C3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Указом Президента Российской Федерации от 07</w:t>
      </w:r>
      <w:r>
        <w:rPr>
          <w:rFonts w:ascii="Liberation Serif" w:hAnsi="Liberation Serif" w:cs="Liberation Serif"/>
          <w:sz w:val="28"/>
          <w:szCs w:val="28"/>
        </w:rPr>
        <w:t xml:space="preserve"> мая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2012 </w:t>
      </w:r>
      <w:r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№ 601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Об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основных направлениях совершенствования системы государственного </w:t>
      </w:r>
      <w:r w:rsidRPr="004748C3">
        <w:rPr>
          <w:rFonts w:ascii="Liberation Serif" w:hAnsi="Liberation Serif" w:cs="Liberation Serif"/>
          <w:sz w:val="28"/>
          <w:szCs w:val="28"/>
        </w:rPr>
        <w:lastRenderedPageBreak/>
        <w:t>управления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определены основные принципы и направления дальнейшего совершенствования системы государственного управления и развития кадрового потенциала Российской Федерации.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Повышение эффективности государственного и муниципального управления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качестве одного из приоритетных направлений развития Свердловской области установлено </w:t>
      </w:r>
      <w:r>
        <w:rPr>
          <w:rFonts w:ascii="Liberation Serif" w:hAnsi="Liberation Serif" w:cs="Liberation Serif"/>
          <w:sz w:val="28"/>
          <w:szCs w:val="28"/>
        </w:rPr>
        <w:t>З</w:t>
      </w:r>
      <w:r w:rsidRPr="004748C3">
        <w:rPr>
          <w:rFonts w:ascii="Liberation Serif" w:hAnsi="Liberation Serif" w:cs="Liberation Serif"/>
          <w:sz w:val="28"/>
          <w:szCs w:val="28"/>
        </w:rPr>
        <w:t>ак</w:t>
      </w:r>
      <w:r>
        <w:rPr>
          <w:rFonts w:ascii="Liberation Serif" w:hAnsi="Liberation Serif" w:cs="Liberation Serif"/>
          <w:sz w:val="28"/>
          <w:szCs w:val="28"/>
        </w:rPr>
        <w:t xml:space="preserve">оном Свердловской области от 15 июня </w:t>
      </w:r>
      <w:r w:rsidRPr="004748C3">
        <w:rPr>
          <w:rFonts w:ascii="Liberation Serif" w:hAnsi="Liberation Serif" w:cs="Liberation Serif"/>
          <w:sz w:val="28"/>
          <w:szCs w:val="28"/>
        </w:rPr>
        <w:t>2015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№ 45-ОЗ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стратегическом планировании в Российской Федерации, осуществляемом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территории Свердловской области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>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Выработка единого подхода в развитии кадровой политики и создание эффективной целостной системы формирования кадрового потенциала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Свердловской области являются важнейшими ресурсами регионального развития. Целенаправленное формирование кадрового состава влияет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эффективность государственного и муниципального управления, успешность социально-экономического развития региона.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В настоящее время в Арамильском городском округе </w:t>
      </w:r>
      <w:r>
        <w:rPr>
          <w:rFonts w:ascii="Liberation Serif" w:hAnsi="Liberation Serif" w:cs="Liberation Serif"/>
          <w:sz w:val="28"/>
          <w:szCs w:val="28"/>
        </w:rPr>
        <w:t xml:space="preserve">(далее – городской округ) </w:t>
      </w:r>
      <w:r w:rsidRPr="004748C3">
        <w:rPr>
          <w:rFonts w:ascii="Liberation Serif" w:hAnsi="Liberation Serif" w:cs="Liberation Serif"/>
          <w:sz w:val="28"/>
          <w:szCs w:val="28"/>
        </w:rPr>
        <w:t>созданы правовые основы и обеспечено стабильное функционирование муниципального управления, а именно: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в целях реализации федерального законодательства 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государственной гражданской и муниципальной службе, противодействии коррупции разработана нормативная правовая база;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создана система мониторинга формирования кадрового состава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разработана и внедрена система организации переподготовки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повышения квалификации муниципальных служащих городского округа за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счет средств местного и областного бюджета;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4) разработана система повышения квалификации лиц, замещающих муниципальные должности, и муниципальных служащих;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5) на постоянной основе формируется реестр муниципальных служащих городского округа;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6) разработана система осуществления проверочных мероприятий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соблюдению законодательства о муниципальной службе;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7) разработан порядок формирования резерва управленческих кадров городского округа;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8) разработана и применяется система контроля за соблюдением муниципальными служащими и лицами, замещающими муниципальные должности городского округа, ограничений и запретов, установленных законодательством о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противодействии коррупции;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9) разработана система профилактических мер противодействия коррупции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10) создана и успешно работает комиссия по противодействию коррупции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lastRenderedPageBreak/>
        <w:t>11) создана и эффективно работает комиссия по соблюдению требований 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служебному поведению муниципальных служащих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целях анализа тенденций развития системы муниципального управления в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разрезе кадровой политики, проводимой органами местного самоуправления городского округа, необходимо рассматривать три взаимозависимых направления (блока вопросов), в рамках которых планируется проведение мероприятий.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соответствии с Федеральным законом от 02</w:t>
      </w:r>
      <w:r>
        <w:rPr>
          <w:rFonts w:ascii="Liberation Serif" w:hAnsi="Liberation Serif" w:cs="Liberation Serif"/>
          <w:sz w:val="28"/>
          <w:szCs w:val="28"/>
        </w:rPr>
        <w:t xml:space="preserve"> марта </w:t>
      </w:r>
      <w:r w:rsidRPr="004748C3">
        <w:rPr>
          <w:rFonts w:ascii="Liberation Serif" w:hAnsi="Liberation Serif" w:cs="Liberation Serif"/>
          <w:sz w:val="28"/>
          <w:szCs w:val="28"/>
        </w:rPr>
        <w:t>2007</w:t>
      </w:r>
      <w:r>
        <w:rPr>
          <w:rFonts w:ascii="Liberation Serif" w:hAnsi="Liberation Serif" w:cs="Liberation Serif"/>
          <w:sz w:val="28"/>
          <w:szCs w:val="28"/>
        </w:rPr>
        <w:t xml:space="preserve"> года </w:t>
      </w:r>
      <w:r w:rsidRPr="004748C3">
        <w:rPr>
          <w:rFonts w:ascii="Liberation Serif" w:hAnsi="Liberation Serif" w:cs="Liberation Serif"/>
          <w:sz w:val="28"/>
          <w:szCs w:val="28"/>
        </w:rPr>
        <w:t>№ 25-ФЗ</w:t>
      </w:r>
      <w:r>
        <w:rPr>
          <w:rFonts w:ascii="Liberation Serif" w:hAnsi="Liberation Serif" w:cs="Liberation Serif"/>
          <w:sz w:val="28"/>
          <w:szCs w:val="28"/>
        </w:rPr>
        <w:t xml:space="preserve"> «</w:t>
      </w:r>
      <w:r w:rsidRPr="004748C3">
        <w:rPr>
          <w:rFonts w:ascii="Liberation Serif" w:hAnsi="Liberation Serif" w:cs="Liberation Serif"/>
          <w:sz w:val="28"/>
          <w:szCs w:val="28"/>
        </w:rPr>
        <w:t>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 в Российской Федерации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и </w:t>
      </w:r>
      <w:r>
        <w:rPr>
          <w:rFonts w:ascii="Liberation Serif" w:hAnsi="Liberation Serif" w:cs="Liberation Serif"/>
          <w:sz w:val="28"/>
          <w:szCs w:val="28"/>
        </w:rPr>
        <w:t>З</w:t>
      </w:r>
      <w:r w:rsidRPr="004748C3">
        <w:rPr>
          <w:rFonts w:ascii="Liberation Serif" w:hAnsi="Liberation Serif" w:cs="Liberation Serif"/>
          <w:sz w:val="28"/>
          <w:szCs w:val="28"/>
        </w:rPr>
        <w:t>аконом Свердловской области от 29</w:t>
      </w:r>
      <w:r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Pr="004748C3">
        <w:rPr>
          <w:rFonts w:ascii="Liberation Serif" w:hAnsi="Liberation Serif" w:cs="Liberation Serif"/>
          <w:sz w:val="28"/>
          <w:szCs w:val="28"/>
        </w:rPr>
        <w:t>2007</w:t>
      </w:r>
      <w:r>
        <w:rPr>
          <w:rFonts w:ascii="Liberation Serif" w:hAnsi="Liberation Serif" w:cs="Liberation Serif"/>
          <w:sz w:val="28"/>
          <w:szCs w:val="28"/>
        </w:rPr>
        <w:t xml:space="preserve"> года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№ 136-ОЗ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Об особенностях муниципальной службы на территории Свердловской области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развитие местного самоуправления обеспечивается муниципальными программами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программами развития муниципальной службы Свердловской области, финансируемыми соответственно за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счет средств местн</w:t>
      </w:r>
      <w:r>
        <w:rPr>
          <w:rFonts w:ascii="Liberation Serif" w:hAnsi="Liberation Serif" w:cs="Liberation Serif"/>
          <w:sz w:val="28"/>
          <w:szCs w:val="28"/>
        </w:rPr>
        <w:t>ого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бюджет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бюджета Свердловской области.</w:t>
      </w:r>
    </w:p>
    <w:p w:rsidR="00E61083" w:rsidRPr="004748C3" w:rsidRDefault="00E61083" w:rsidP="00E6108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Основой реформирования муниципальной службы в Свердловской области явилась областная государственная программа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636E52">
        <w:rPr>
          <w:rFonts w:ascii="Liberation Serif" w:hAnsi="Liberation Serif" w:cs="Liberation Serif"/>
          <w:sz w:val="28"/>
          <w:szCs w:val="28"/>
        </w:rPr>
        <w:t>Развитие кадровой политики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636E52">
        <w:rPr>
          <w:rFonts w:ascii="Liberation Serif" w:hAnsi="Liberation Serif" w:cs="Liberation Serif"/>
          <w:sz w:val="28"/>
          <w:szCs w:val="28"/>
        </w:rPr>
        <w:t xml:space="preserve">системе </w:t>
      </w:r>
      <w:r>
        <w:rPr>
          <w:rFonts w:ascii="Liberation Serif" w:hAnsi="Liberation Serif" w:cs="Liberation Serif"/>
          <w:sz w:val="28"/>
          <w:szCs w:val="28"/>
        </w:rPr>
        <w:t xml:space="preserve">государственного и </w:t>
      </w:r>
      <w:r w:rsidRPr="00636E52">
        <w:rPr>
          <w:rFonts w:ascii="Liberation Serif" w:hAnsi="Liberation Serif" w:cs="Liberation Serif"/>
          <w:sz w:val="28"/>
          <w:szCs w:val="28"/>
        </w:rPr>
        <w:t>муниципального управления</w:t>
      </w:r>
      <w:r>
        <w:rPr>
          <w:rFonts w:ascii="Liberation Serif" w:hAnsi="Liberation Serif" w:cs="Liberation Serif"/>
          <w:sz w:val="28"/>
          <w:szCs w:val="28"/>
        </w:rPr>
        <w:t xml:space="preserve"> Свердловской области </w:t>
      </w:r>
      <w:r w:rsidRPr="00636E52">
        <w:rPr>
          <w:rFonts w:ascii="Liberation Serif" w:hAnsi="Liberation Serif" w:cs="Liberation Serif"/>
          <w:sz w:val="28"/>
          <w:szCs w:val="28"/>
        </w:rPr>
        <w:t>до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636E52">
        <w:rPr>
          <w:rFonts w:ascii="Liberation Serif" w:hAnsi="Liberation Serif" w:cs="Liberation Serif"/>
          <w:sz w:val="28"/>
          <w:szCs w:val="28"/>
        </w:rPr>
        <w:t>202</w:t>
      </w:r>
      <w:r>
        <w:rPr>
          <w:rFonts w:ascii="Liberation Serif" w:hAnsi="Liberation Serif" w:cs="Liberation Serif"/>
          <w:sz w:val="28"/>
          <w:szCs w:val="28"/>
        </w:rPr>
        <w:t>7</w:t>
      </w:r>
      <w:r w:rsidRPr="00636E52">
        <w:rPr>
          <w:rFonts w:ascii="Liberation Serif" w:hAnsi="Liberation Serif" w:cs="Liberation Serif"/>
          <w:sz w:val="28"/>
          <w:szCs w:val="28"/>
        </w:rPr>
        <w:t xml:space="preserve"> года»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, утвержденная постановлением Правительства Свердловской области </w:t>
      </w:r>
      <w:r w:rsidRPr="005E031E">
        <w:rPr>
          <w:rFonts w:ascii="Liberation Serif" w:hAnsi="Liberation Serif" w:cs="Liberation Serif"/>
          <w:sz w:val="28"/>
          <w:szCs w:val="28"/>
        </w:rPr>
        <w:t>от 21.10.2013 № 1276-ПП,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направленная на обеспечение непрерывности процесса совершенствования муниципальной службы в Свердловской области, формирование кадрового обеспечения реформы местного самоуправления.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Одним из основных условий поступательного развития муниципального образования является повышение профессионализма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компетентности кадрового состава органов местного самоуправления.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Развитие муниципальной службы в городском округе характеризуется качественным составом муниципальных служащих городского округа. 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По состоянию на 01 января 20</w:t>
      </w:r>
      <w:r>
        <w:rPr>
          <w:rFonts w:ascii="Liberation Serif" w:hAnsi="Liberation Serif" w:cs="Liberation Serif"/>
          <w:sz w:val="28"/>
          <w:szCs w:val="28"/>
        </w:rPr>
        <w:t>23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года штатная численность муниципальных служащих городского округа составила 3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должностей.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Укомплектованность должностей муниципальной службы городского округа </w:t>
      </w:r>
      <w:r w:rsidRPr="00D05B5F">
        <w:rPr>
          <w:rFonts w:ascii="Liberation Serif" w:hAnsi="Liberation Serif" w:cs="Liberation Serif"/>
          <w:sz w:val="28"/>
          <w:szCs w:val="28"/>
        </w:rPr>
        <w:t>составляет 94,44 процента.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Количество муниципальных служащих городского округа, имеющих высшее профессиональное образование, по состоянию на 01 января 20</w:t>
      </w:r>
      <w:r>
        <w:rPr>
          <w:rFonts w:ascii="Liberation Serif" w:hAnsi="Liberation Serif" w:cs="Liberation Serif"/>
          <w:sz w:val="28"/>
          <w:szCs w:val="28"/>
        </w:rPr>
        <w:t>23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года составило 34 человека (94,44 процента). 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Из общего количества муниципальных служащих, имеющих высшее профессиональное образование, 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человека (</w:t>
      </w:r>
      <w:r>
        <w:rPr>
          <w:rFonts w:ascii="Liberation Serif" w:hAnsi="Liberation Serif" w:cs="Liberation Serif"/>
          <w:sz w:val="28"/>
          <w:szCs w:val="28"/>
        </w:rPr>
        <w:t>9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процентов) имеют два и более высших профессиональных образования.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Анализ гендерного состава муниципальных служащих свидетельствует 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сохраняющейся тенденции увеличения численности женщин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службе. Так, общая численность женщин, замещающих должности муниципальной службы городского округа,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состоянию на 01 января 20</w:t>
      </w:r>
      <w:r>
        <w:rPr>
          <w:rFonts w:ascii="Liberation Serif" w:hAnsi="Liberation Serif" w:cs="Liberation Serif"/>
          <w:sz w:val="28"/>
          <w:szCs w:val="28"/>
        </w:rPr>
        <w:t>23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года составляет </w:t>
      </w:r>
      <w:r>
        <w:rPr>
          <w:rFonts w:ascii="Liberation Serif" w:hAnsi="Liberation Serif" w:cs="Liberation Serif"/>
          <w:sz w:val="28"/>
          <w:szCs w:val="28"/>
        </w:rPr>
        <w:t xml:space="preserve">32 </w:t>
      </w:r>
      <w:r w:rsidRPr="004748C3">
        <w:rPr>
          <w:rFonts w:ascii="Liberation Serif" w:hAnsi="Liberation Serif" w:cs="Liberation Serif"/>
          <w:sz w:val="28"/>
          <w:szCs w:val="28"/>
        </w:rPr>
        <w:t>человек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, или </w:t>
      </w:r>
      <w:r>
        <w:rPr>
          <w:rFonts w:ascii="Liberation Serif" w:hAnsi="Liberation Serif" w:cs="Liberation Serif"/>
          <w:sz w:val="28"/>
          <w:szCs w:val="28"/>
        </w:rPr>
        <w:t>94</w:t>
      </w:r>
      <w:r w:rsidRPr="004748C3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>12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процентов.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Анализ качественного состава муниципальных служащих городского округа по стажу и опыту работы показывает, что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на должностях муниципальной службы </w:t>
      </w:r>
      <w:r w:rsidRPr="004748C3">
        <w:rPr>
          <w:rFonts w:ascii="Liberation Serif" w:hAnsi="Liberation Serif" w:cs="Liberation Serif"/>
          <w:sz w:val="28"/>
          <w:szCs w:val="28"/>
        </w:rPr>
        <w:lastRenderedPageBreak/>
        <w:t>городского округа примерно в равных частях сочетаются группы служащих, имеющих достаточный опыт работы,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работников, сравнительно недавно пришедших в органы местного самоуправления городского округа: муниципальных служащих городского округа, имеющих значительный стаж муниципальной службы от 5 до 10 лет - 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человек (</w:t>
      </w:r>
      <w:r>
        <w:rPr>
          <w:rFonts w:ascii="Liberation Serif" w:hAnsi="Liberation Serif" w:cs="Liberation Serif"/>
          <w:sz w:val="28"/>
          <w:szCs w:val="28"/>
        </w:rPr>
        <w:t>17</w:t>
      </w:r>
      <w:r w:rsidRPr="004748C3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>65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процента), от 10 до 15 лет - 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человек (</w:t>
      </w:r>
      <w:r>
        <w:rPr>
          <w:rFonts w:ascii="Liberation Serif" w:hAnsi="Liberation Serif" w:cs="Liberation Serif"/>
          <w:sz w:val="28"/>
          <w:szCs w:val="28"/>
        </w:rPr>
        <w:t>17</w:t>
      </w:r>
      <w:r w:rsidRPr="004748C3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>65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процентов), количество молодых специалистов, имеющих стаж муниципальной службы от 0 до 5 лет, составляет 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человек (1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4748C3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>71 </w:t>
      </w:r>
      <w:r w:rsidRPr="004748C3">
        <w:rPr>
          <w:rFonts w:ascii="Liberation Serif" w:hAnsi="Liberation Serif" w:cs="Liberation Serif"/>
          <w:sz w:val="28"/>
          <w:szCs w:val="28"/>
        </w:rPr>
        <w:t>процентов).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20</w:t>
      </w:r>
      <w:r>
        <w:rPr>
          <w:rFonts w:ascii="Liberation Serif" w:hAnsi="Liberation Serif" w:cs="Liberation Serif"/>
          <w:sz w:val="28"/>
          <w:szCs w:val="28"/>
        </w:rPr>
        <w:t>22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году в городском округе состоялось </w:t>
      </w:r>
      <w:r>
        <w:rPr>
          <w:rFonts w:ascii="Liberation Serif" w:hAnsi="Liberation Serif" w:cs="Liberation Serif"/>
          <w:sz w:val="28"/>
          <w:szCs w:val="28"/>
        </w:rPr>
        <w:t>10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назначени</w:t>
      </w:r>
      <w:r>
        <w:rPr>
          <w:rFonts w:ascii="Liberation Serif" w:hAnsi="Liberation Serif" w:cs="Liberation Serif"/>
          <w:sz w:val="28"/>
          <w:szCs w:val="28"/>
        </w:rPr>
        <w:t>й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должности муниципальной службы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На муниципальной службе городского округа продолжается развитие современных кадровых технологий.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Оценка соответствия муниципальных служащих городского округа замещаемым должностям муниципальной службы осуществляется посредством проведения аттестации</w:t>
      </w:r>
      <w:r>
        <w:rPr>
          <w:rFonts w:ascii="Liberation Serif" w:hAnsi="Liberation Serif" w:cs="Liberation Serif"/>
          <w:sz w:val="28"/>
          <w:szCs w:val="28"/>
        </w:rPr>
        <w:t>,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присвоени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классных чинов производится на основе выводов аттестационной комиссии.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Улучшение качественного состава муниципальных служащих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уровню образования во многом вызвано активной работой по контролю за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соблюдением квалификационных требований к должностям муниципальной службы, проводившейся кадровыми службами органов местного самоуправления городского округа, совместно 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контролирующим органом.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городском округе осуществляется формирование кадрового резерва на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муниципальную службу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Вместе с тем существует необходимость совершенствования работы 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резервом управленческих кадров и кадровым резервом, по разработке мер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усилению контроля за оценкой выполнения планов индивидуальной подготовки резервистов.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соответствии с Федеральным законом от 0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марта 2007 года № 25-ФЗ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 в Российской Федерации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в городском округе осуществляется создание эффективной системы профессиональной переподготовки и повышения квалификации муниципальных служащих, что является одной из основных задач совершенствования муниципальной службы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Анализируя количество муниципальных служащих, получивших дополнительное профессиональное образование, следует отметить, что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программам профессиональной переподготовки и повышения квалификации в 20</w:t>
      </w:r>
      <w:r>
        <w:rPr>
          <w:rFonts w:ascii="Liberation Serif" w:hAnsi="Liberation Serif" w:cs="Liberation Serif"/>
          <w:sz w:val="28"/>
          <w:szCs w:val="28"/>
        </w:rPr>
        <w:t>22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году прошли обучение </w:t>
      </w:r>
      <w:r>
        <w:rPr>
          <w:rFonts w:ascii="Liberation Serif" w:hAnsi="Liberation Serif" w:cs="Liberation Serif"/>
          <w:sz w:val="28"/>
          <w:szCs w:val="28"/>
        </w:rPr>
        <w:t>11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человек.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Вместе с тем сохраняется ряд проблем формирования и развития кадрового потенциала в системе муниципальной службы городского округа: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1. Оценка профессиональной служебной деятельности муниципальных служащих городского округа еще слабо увязана 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ее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результативностью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тем, насколько качественно в органах местного самоуправления городского округа исполняются муниципальные функции и оказываются муниципальные услуги. </w:t>
      </w:r>
      <w:r w:rsidRPr="004748C3">
        <w:rPr>
          <w:rFonts w:ascii="Liberation Serif" w:hAnsi="Liberation Serif" w:cs="Liberation Serif"/>
          <w:sz w:val="28"/>
          <w:szCs w:val="28"/>
        </w:rPr>
        <w:lastRenderedPageBreak/>
        <w:t>Отсутствуют научно обоснованные критерии оценки результативности деятельности муниципальных служащих.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2. Система работы с кадровым резервом на муниципальной службе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 требует дальнейшего совершенствования,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том числе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части правового регулирования.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Недостаточна правовая </w:t>
      </w:r>
      <w:proofErr w:type="spellStart"/>
      <w:r w:rsidRPr="004748C3">
        <w:rPr>
          <w:rFonts w:ascii="Liberation Serif" w:hAnsi="Liberation Serif" w:cs="Liberation Serif"/>
          <w:sz w:val="28"/>
          <w:szCs w:val="28"/>
        </w:rPr>
        <w:t>урегулированность</w:t>
      </w:r>
      <w:proofErr w:type="spellEnd"/>
      <w:r w:rsidRPr="004748C3">
        <w:rPr>
          <w:rFonts w:ascii="Liberation Serif" w:hAnsi="Liberation Serif" w:cs="Liberation Serif"/>
          <w:sz w:val="28"/>
          <w:szCs w:val="28"/>
        </w:rPr>
        <w:t xml:space="preserve"> отдельных вопросов прохождения муниципальной службы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развитии муниципальной службы существует ряд проблем: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отсутствие профильного профессионального образования у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муниципальных служащих: несмотря на высокий уровень образования, большинство муниципальных служащих не имеют образования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соответствующей специальности;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отсутствие системности в работе с кадровым резервом, как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основным источником обновления и пополнения кадрового состава органов местного самоуправления городского округа;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негативный имидж муниципального служащего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неконкурентоспособный уровень заработной платы, что не позволяет привлекать на службу высокопрофессиональных специалистов;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4) низкий уровень материально-технического обеспечения деятельности органов местного самоуправления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связи с этим целью является формирование и эффективное использование кадрового потенциала в системе муниципального управления, направленного на обеспечение социально-экономического развития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Для ее достижения необходимо решение следующих задач, посредством мероприятий: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1. Совершенствование правового регулирования муниципального управления городского округа в сфере кадровой политики.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2. Создание эффективной целостной системы и механизмов формирования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функционирования кадрового состава в сфере муниципальной службы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округе, на основе внедрения новых принципов кадровой политики: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2.1. осуществление мониторинга кадрового состава органов местного самоуправления городского округа;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2.2. осуществление методической работы и повышение профессионального уровня муниципальных служащих городского округа;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2.3. развитие системы наставничества на муниципальной службе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расширение практики использования испытательного срока при замещении должностей муниципальной службы;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2.4. формирование кадровых резервов и их активное практическое использование;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3. Повышение эффективности системы противодействия коррупции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сфере муниципального управления в городском округе: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lastRenderedPageBreak/>
        <w:t>3.1 организация работы по соблюдению законодательства 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службе, противодействии коррупции;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3.2 развитие системы мер по профилактике коррупции в органах местного самоуправления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Для выполнения целевых задач необходимо внедрение новых принципов кадровой политики: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совершенствование объективных и прозрачных механизмов конкурсного отбора кандидатов на замещение должностей муниципальной службы, включая информационные технологии;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формирование кадровых резервов и их активное практическое использование;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развитие системы наставничества на муниципальной службе;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4) применение системы комплексной оценки деятельности муниципальных служащих с использованием ключевых показателей эффективности результатов;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5) совершенствование системы материальной и моральной мотивации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деятельности муниципальных служащих и их социальной защиты.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Цель - формирование эффективного состава управленческих кадров, отвечающих квалификационным требованиям, проявивших себя в сфере профессиональной и общественной деятельности, обладающих необходимыми личностными и деловыми качествами, высокой степенью ответственности.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Процесс формирования резерва управленческих кадров городского округа закреплен в Положении об организации работы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формированию резерва управленческих кадров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процессе формирования, подготовки и использования резерва управленческих кадров городского округа необходимо выделить ряд проблем, препятствующих эффективной работе с резервом: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1) </w:t>
      </w:r>
      <w:r>
        <w:rPr>
          <w:rFonts w:ascii="Liberation Serif" w:hAnsi="Liberation Serif" w:cs="Liberation Serif"/>
          <w:sz w:val="28"/>
          <w:szCs w:val="28"/>
        </w:rPr>
        <w:t>одна из ключевых проблем отсутствие кандидатов для включения в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резерв </w:t>
      </w:r>
      <w:r w:rsidR="00A73B25" w:rsidRPr="004748C3">
        <w:rPr>
          <w:rFonts w:ascii="Liberation Serif" w:hAnsi="Liberation Serif" w:cs="Liberation Serif"/>
          <w:sz w:val="28"/>
          <w:szCs w:val="28"/>
        </w:rPr>
        <w:t>управленческих кадров городского округа,</w:t>
      </w:r>
      <w:r>
        <w:rPr>
          <w:rFonts w:ascii="Liberation Serif" w:hAnsi="Liberation Serif" w:cs="Liberation Serif"/>
          <w:sz w:val="28"/>
          <w:szCs w:val="28"/>
        </w:rPr>
        <w:t xml:space="preserve"> соответствующих квалификационным требованиям для включения в резерв;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2) </w:t>
      </w:r>
      <w:r w:rsidRPr="004748C3">
        <w:rPr>
          <w:rFonts w:ascii="Liberation Serif" w:hAnsi="Liberation Serif" w:cs="Liberation Serif"/>
          <w:sz w:val="28"/>
          <w:szCs w:val="28"/>
        </w:rPr>
        <w:t>проблема организации системности в работе с резервом как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основным источником обновления и пополнения кадрового состава руководителей муниципальной службы, как следствие, низкий процент назначений. Предлагается внедрить систему планирования потребности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управленческих кадрах, нормативно закрепив механизм реализации, увеличив в перспективе процент назначений из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резерва управленческих кадров городского округа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E61083" w:rsidRPr="005059EE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5059EE">
        <w:rPr>
          <w:rFonts w:ascii="Liberation Serif" w:hAnsi="Liberation Serif" w:cs="Liberation Serif"/>
          <w:color w:val="000000"/>
          <w:sz w:val="28"/>
          <w:szCs w:val="28"/>
        </w:rPr>
        <w:t xml:space="preserve">Противодействие коррупции в городском округе 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Сог</w:t>
      </w:r>
      <w:r>
        <w:rPr>
          <w:rFonts w:ascii="Liberation Serif" w:hAnsi="Liberation Serif" w:cs="Liberation Serif"/>
          <w:sz w:val="28"/>
          <w:szCs w:val="28"/>
        </w:rPr>
        <w:t xml:space="preserve">ласно Федеральному закону от 25 декабря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2008 </w:t>
      </w:r>
      <w:r>
        <w:rPr>
          <w:rFonts w:ascii="Liberation Serif" w:hAnsi="Liberation Serif" w:cs="Liberation Serif"/>
          <w:sz w:val="28"/>
          <w:szCs w:val="28"/>
        </w:rPr>
        <w:t>года № 273-ФЗ «</w:t>
      </w:r>
      <w:r w:rsidRPr="004748C3">
        <w:rPr>
          <w:rFonts w:ascii="Liberation Serif" w:hAnsi="Liberation Serif" w:cs="Liberation Serif"/>
          <w:sz w:val="28"/>
          <w:szCs w:val="28"/>
        </w:rPr>
        <w:t>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противодействии коррупции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противодействие коррупции - деятельность федеральных органов государственной власти, органов государственной власти </w:t>
      </w:r>
      <w:r w:rsidRPr="004748C3">
        <w:rPr>
          <w:rFonts w:ascii="Liberation Serif" w:hAnsi="Liberation Serif" w:cs="Liberation Serif"/>
          <w:sz w:val="28"/>
          <w:szCs w:val="28"/>
        </w:rPr>
        <w:lastRenderedPageBreak/>
        <w:t>субъектов Российской Федерации, органов местного самоуправления, институтов гражданского общества, организаций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физических лиц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пределах их полномочий: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по предупреждению коррупции, в том числе по выявлению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последующему устранению причин коррупции (профилактика коррупции);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по выявлению, предупреждению, пресечению, раскрытию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расследованию коррупционных правонарушений (борьба с коррупцией);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по минимизации и (или) ликвидации последствий коррупционных правонарушений.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соответствии со статьями 6 и 7 Федерального закона от 25</w:t>
      </w:r>
      <w:r>
        <w:rPr>
          <w:rFonts w:ascii="Liberation Serif" w:hAnsi="Liberation Serif" w:cs="Liberation Serif"/>
          <w:sz w:val="28"/>
          <w:szCs w:val="28"/>
        </w:rPr>
        <w:t xml:space="preserve"> декабря 2008 года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№ 273-ФЗ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 противодействии коррупции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>, одной из основных мер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профилактике коррупции является формирование в обществе нетерпимости к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коррупционному поведению. К основным направлениям деятельности государственных органов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повышению эффективности противодействия коррупции отнесено принятие законодательных, административных и иных мер, направленных на привлечение государственных и муниципальных служащих, а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также граждан к более активному участию в противодействии коррупции, на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формирование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обществе негативного отношения 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коррупционному поведению.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Согласно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748C3">
        <w:rPr>
          <w:rFonts w:ascii="Liberation Serif" w:hAnsi="Liberation Serif" w:cs="Liberation Serif"/>
          <w:sz w:val="28"/>
          <w:szCs w:val="28"/>
        </w:rPr>
        <w:t>Национальному плану противодействия коррупции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5797C">
        <w:rPr>
          <w:rFonts w:ascii="Liberation Serif" w:hAnsi="Liberation Serif" w:cs="Liberation Serif"/>
          <w:sz w:val="28"/>
          <w:szCs w:val="28"/>
          <w:lang w:eastAsia="ar-SA"/>
        </w:rPr>
        <w:t>на 2021 – 2024 годы</w:t>
      </w:r>
      <w:r>
        <w:rPr>
          <w:rFonts w:ascii="Liberation Serif" w:hAnsi="Liberation Serif" w:cs="Liberation Serif"/>
          <w:sz w:val="28"/>
          <w:szCs w:val="28"/>
          <w:lang w:eastAsia="ar-SA"/>
        </w:rPr>
        <w:t xml:space="preserve">, </w:t>
      </w:r>
      <w:r w:rsidRPr="004748C3">
        <w:rPr>
          <w:rFonts w:ascii="Liberation Serif" w:hAnsi="Liberation Serif" w:cs="Liberation Serif"/>
          <w:sz w:val="28"/>
          <w:szCs w:val="28"/>
        </w:rPr>
        <w:t>утвержденному Указом Президента</w:t>
      </w:r>
      <w:r>
        <w:rPr>
          <w:rFonts w:ascii="Liberation Serif" w:hAnsi="Liberation Serif" w:cs="Liberation Serif"/>
          <w:sz w:val="28"/>
          <w:szCs w:val="28"/>
        </w:rPr>
        <w:t xml:space="preserve"> Российской Федерации от </w:t>
      </w:r>
      <w:r w:rsidRPr="0005797C">
        <w:rPr>
          <w:rFonts w:ascii="Liberation Serif" w:hAnsi="Liberation Serif" w:cs="Liberation Serif"/>
          <w:sz w:val="28"/>
          <w:szCs w:val="28"/>
          <w:lang w:eastAsia="ar-SA"/>
        </w:rPr>
        <w:t>16</w:t>
      </w:r>
      <w:r>
        <w:rPr>
          <w:rFonts w:ascii="Liberation Serif" w:hAnsi="Liberation Serif" w:cs="Liberation Serif"/>
          <w:sz w:val="28"/>
          <w:szCs w:val="28"/>
          <w:lang w:eastAsia="ar-SA"/>
        </w:rPr>
        <w:t> </w:t>
      </w:r>
      <w:r w:rsidRPr="0005797C">
        <w:rPr>
          <w:rFonts w:ascii="Liberation Serif" w:hAnsi="Liberation Serif" w:cs="Liberation Serif"/>
          <w:sz w:val="28"/>
          <w:szCs w:val="28"/>
          <w:lang w:eastAsia="ar-SA"/>
        </w:rPr>
        <w:t>августа 2021 года № 478</w:t>
      </w:r>
      <w:r w:rsidRPr="004748C3">
        <w:rPr>
          <w:rFonts w:ascii="Liberation Serif" w:hAnsi="Liberation Serif" w:cs="Liberation Serif"/>
          <w:sz w:val="28"/>
          <w:szCs w:val="28"/>
        </w:rPr>
        <w:t>, основными задачами являются:</w:t>
      </w:r>
    </w:p>
    <w:p w:rsidR="00E61083" w:rsidRPr="00946151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946151">
        <w:rPr>
          <w:rFonts w:ascii="Liberation Serif" w:hAnsi="Liberation Serif" w:cs="Liberation Serif"/>
          <w:sz w:val="28"/>
          <w:szCs w:val="28"/>
        </w:rPr>
        <w:t>совершенствование системы запретов, ограничений и требований, установленных в целях противодействия коррупции;</w:t>
      </w:r>
    </w:p>
    <w:p w:rsidR="00E61083" w:rsidRPr="00946151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946151">
        <w:rPr>
          <w:rFonts w:ascii="Liberation Serif" w:hAnsi="Liberation Serif" w:cs="Liberation Serif"/>
          <w:sz w:val="28"/>
          <w:szCs w:val="28"/>
        </w:rP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946151">
        <w:rPr>
          <w:rFonts w:ascii="Liberation Serif" w:hAnsi="Liberation Serif" w:cs="Liberation Serif"/>
          <w:sz w:val="28"/>
          <w:szCs w:val="28"/>
        </w:rPr>
        <w:t>совершенствование мер по противодействию коррупции в сфере закупок товаров, работ, услуг для обеспечения государственных или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946151">
        <w:rPr>
          <w:rFonts w:ascii="Liberation Serif" w:hAnsi="Liberation Serif" w:cs="Liberation Serif"/>
          <w:sz w:val="28"/>
          <w:szCs w:val="28"/>
        </w:rPr>
        <w:t>муниципальных нужд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946151">
        <w:rPr>
          <w:rFonts w:ascii="Liberation Serif" w:hAnsi="Liberation Serif" w:cs="Liberation Serif"/>
          <w:sz w:val="28"/>
          <w:szCs w:val="28"/>
        </w:rPr>
        <w:t>в сфере закупок товаров, работ, услуг отдельными видами юридических лиц;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совершенствование предусмотренных Федеральным законом от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03</w:t>
      </w:r>
      <w:r>
        <w:rPr>
          <w:rFonts w:ascii="Liberation Serif" w:hAnsi="Liberation Serif" w:cs="Liberation Serif"/>
          <w:sz w:val="28"/>
          <w:szCs w:val="28"/>
        </w:rPr>
        <w:t xml:space="preserve"> декабря </w:t>
      </w:r>
      <w:r w:rsidRPr="004748C3">
        <w:rPr>
          <w:rFonts w:ascii="Liberation Serif" w:hAnsi="Liberation Serif" w:cs="Liberation Serif"/>
          <w:sz w:val="28"/>
          <w:szCs w:val="28"/>
        </w:rPr>
        <w:t>2012</w:t>
      </w:r>
      <w:r>
        <w:rPr>
          <w:rFonts w:ascii="Liberation Serif" w:hAnsi="Liberation Serif" w:cs="Liberation Serif"/>
          <w:sz w:val="28"/>
          <w:szCs w:val="28"/>
        </w:rPr>
        <w:t xml:space="preserve"> года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№ 230-ФЗ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обществе антикоррупционных стандартов и развитие общественного правосознания;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lastRenderedPageBreak/>
        <w:t>совершенствование мер по противодействию коррупции в сфере бизнеса, в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том числе по защите субъектов предпринимательской деятельности от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злоупотреблений служебным положением со стороны должностных лиц;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систематизация и актуализация нормативно-правовой базы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вопросам противодействия коррупции, устранение пробелов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противоречий в правовом регулировании в области противодействия коррупции;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городском округе реализуется комплекс мер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противодействию коррупции.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целях выявления и устранения положений, создающих условия для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проявления коррупции, проводится антикоррупционная экспертиза муниципальных нормативных правовых актов и проектов муниципальных нормативных правовых актов.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Эффективным механизмом профилактики коррупционных проявлений является регламентация муниципальных услуг. Административные регламенты оптимизируют и конкретизируют полномочия государственных органов и органов местного самоуправления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сфере услуг, закрепляют прозрачные и ясные процедуры при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их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предоставлении, четкие критерии принятия решений.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Развивается система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единого окна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для решения задачи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упрощению процедур согласования и получения разрешительной документации, минимизации личного общения граждан с сотрудниками органов местного самоуправления (прием всех требуемых в соответствии 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законодательством документов в одном месте, 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также взаимодействие от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имени, обратившегося за услугой с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согласующими инстанциями, вовлеченными в процесс выдачи разрешений и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согласований).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Pr="004748C3">
        <w:rPr>
          <w:rFonts w:ascii="Liberation Serif" w:hAnsi="Liberation Serif" w:cs="Liberation Serif"/>
          <w:sz w:val="28"/>
          <w:szCs w:val="28"/>
        </w:rPr>
        <w:t>недрен механизм досудебного обжалования, который позволит усилить защиту интересов заявителей, в том числе за счет повышения ответственности должностных лиц за нарушение требований 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предоставлению муниципальных услуг.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Принимаемые в городском округе антикоррупционные меры дают положительные результаты как в сфере борьбы с коррупцией, так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в сфере устранения условий, способствующих проявлениям коррупции.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Таким образом, одной из основных причин коррупции является низкое правосознание граждан и их правовой нигилизм.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К основным направлениям реализации подпрограммы отнесены: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расширение системы правового просвещения населения;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периодическое исследование состояния коррупции и эффективности мер, принимаемых по ее предупреждению и по борьбе с ней как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округе, так и в Свердловской области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стране в целом.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Мерами по профилактике коррупции в городском округе являются: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lastRenderedPageBreak/>
        <w:t xml:space="preserve">1) формирование и реализация </w:t>
      </w:r>
      <w:r>
        <w:rPr>
          <w:rFonts w:ascii="Liberation Serif" w:hAnsi="Liberation Serif" w:cs="Liberation Serif"/>
          <w:sz w:val="28"/>
          <w:szCs w:val="28"/>
        </w:rPr>
        <w:t>под</w:t>
      </w:r>
      <w:r w:rsidRPr="004748C3">
        <w:rPr>
          <w:rFonts w:ascii="Liberation Serif" w:hAnsi="Liberation Serif" w:cs="Liberation Serif"/>
          <w:sz w:val="28"/>
          <w:szCs w:val="28"/>
        </w:rPr>
        <w:t>программы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противодействию коррупции в городском округе;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антикоррупционный мониторинг;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формирование в обществе нетерпимости к коррупционному поведению.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Формирование в обществе нетерпимости к коррупционному поведению осуществляется посредством организации просветительской работы, направленной на укрепление доверия к власти, включающей: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издание и распространение печатной продукции о противодействии коррупции в городском округе, в том числе учебных пособий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материалов;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производство и распространение социальной рекламы 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противодействии коррупции в городском округе;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организацию творческих конкурсов в сфере противодействия коррупции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4) осуществление иных мероприятий, направленных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противодействие коррупции в городском округе.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качестве основных задач антикоррупционного мониторинга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 определены: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комплексное наблюдение за изменением состояния и уровня коррупции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оценка эффективности проводимых на территории городского округа мероприятий по противодействию коррупции.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городском округе осуществлен комплекс мероприятий, направленных на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создание и совершенствование правовых, организационных, методологических основ противодействия коррупции.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Правовыми актами урегулированы все основные вопросы в сфере противодействия коррупции. Ведется работа по совершенствованию нормативной правовой базы по формированию и функционированию системы противодействия коррупции.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Организована работа по систематическому проведению мониторинга выполнения муниципальными служащими городского округа обязанностей, ограничений и запретов, связанных с муниципальной службой, требований к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служебному поведению.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Проводится мониторинг эффективности функционирования комиссии по соблюдению требований к служебному поведению муниципальных служащих Арамильского городского округа (далее - комиссия).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Таблица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</w:p>
    <w:p w:rsidR="00E61083" w:rsidRDefault="00E61083" w:rsidP="00E61083">
      <w:pPr>
        <w:autoSpaceDE w:val="0"/>
        <w:autoSpaceDN w:val="0"/>
        <w:adjustRightInd w:val="0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Тематика вопросов, рассмотренных на комиссии 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1909"/>
        <w:gridCol w:w="2104"/>
        <w:gridCol w:w="2104"/>
        <w:gridCol w:w="2133"/>
      </w:tblGrid>
      <w:tr w:rsidR="00E61083" w:rsidRPr="004748C3" w:rsidTr="00A73B25">
        <w:trPr>
          <w:trHeight w:val="320"/>
        </w:trPr>
        <w:tc>
          <w:tcPr>
            <w:tcW w:w="141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Период</w:t>
            </w:r>
          </w:p>
        </w:tc>
        <w:tc>
          <w:tcPr>
            <w:tcW w:w="8250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Количество рассмотренных комиссией материалов (обращений), касающихся</w:t>
            </w:r>
          </w:p>
        </w:tc>
      </w:tr>
      <w:tr w:rsidR="00E61083" w:rsidRPr="004748C3" w:rsidTr="00A73B25">
        <w:trPr>
          <w:trHeight w:val="2560"/>
        </w:trPr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представления служащими недостоверных или неполных сведений о доходах, об имуществе и обязательствах имущественного характера (единиц)</w:t>
            </w:r>
          </w:p>
        </w:tc>
        <w:tc>
          <w:tcPr>
            <w:tcW w:w="2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несоблюдения служащими требований к служебному поведению и (или) требований об урегулировании конфликта интересов (единиц)</w:t>
            </w:r>
          </w:p>
        </w:tc>
        <w:tc>
          <w:tcPr>
            <w:tcW w:w="2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F33C00" w:rsidRDefault="00E61083" w:rsidP="005771FA">
            <w:pPr>
              <w:widowControl w:val="0"/>
              <w:autoSpaceDE w:val="0"/>
              <w:autoSpaceDN w:val="0"/>
              <w:ind w:firstLine="12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 xml:space="preserve">дачи согласия на замещение должности в коммерческой или некоммерческой организации либо на выполнение работы </w:t>
            </w:r>
            <w:r w:rsidRPr="00F33C00">
              <w:rPr>
                <w:rFonts w:ascii="Liberation Serif" w:eastAsia="Courier New" w:hAnsi="Liberation Serif" w:cs="Liberation Serif"/>
                <w:sz w:val="24"/>
                <w:szCs w:val="24"/>
              </w:rPr>
              <w:t xml:space="preserve">на условиях гражданско-правового договора </w:t>
            </w:r>
            <w:r w:rsidRPr="00F33C00">
              <w:rPr>
                <w:rFonts w:ascii="Liberation Serif" w:hAnsi="Liberation Serif" w:cs="Liberation Serif"/>
                <w:sz w:val="24"/>
                <w:szCs w:val="24"/>
              </w:rPr>
              <w:t>до истечения двух лет со дня увольнения с муниципальной службы;</w:t>
            </w:r>
          </w:p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 xml:space="preserve"> (единиц)</w:t>
            </w:r>
          </w:p>
        </w:tc>
        <w:tc>
          <w:tcPr>
            <w:tcW w:w="2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невозможности по объективным причинам представить сведения о доходах супруги (супруга) и несовершеннолетних детей (единиц)</w:t>
            </w:r>
          </w:p>
        </w:tc>
      </w:tr>
      <w:tr w:rsidR="00E61083" w:rsidRPr="004748C3" w:rsidTr="00A73B25">
        <w:trPr>
          <w:trHeight w:val="1"/>
        </w:trPr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086B3B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6B3B">
              <w:rPr>
                <w:rFonts w:ascii="Liberation Serif" w:eastAsia="Courier New" w:hAnsi="Liberation Serif" w:cs="Liberation Serif"/>
                <w:sz w:val="24"/>
                <w:szCs w:val="24"/>
              </w:rPr>
              <w:lastRenderedPageBreak/>
              <w:t>2022 год</w:t>
            </w:r>
          </w:p>
        </w:tc>
        <w:tc>
          <w:tcPr>
            <w:tcW w:w="19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ourier New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ourier New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0</w:t>
            </w:r>
          </w:p>
        </w:tc>
      </w:tr>
      <w:tr w:rsidR="00E61083" w:rsidRPr="004748C3" w:rsidTr="00A73B25">
        <w:trPr>
          <w:trHeight w:val="1"/>
        </w:trPr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086B3B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6B3B">
              <w:rPr>
                <w:rFonts w:ascii="Liberation Serif" w:eastAsia="Courier New" w:hAnsi="Liberation Serif" w:cs="Liberation Serif"/>
                <w:sz w:val="24"/>
                <w:szCs w:val="24"/>
              </w:rPr>
              <w:t>1 полугодие 2023 года</w:t>
            </w:r>
          </w:p>
        </w:tc>
        <w:tc>
          <w:tcPr>
            <w:tcW w:w="19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ourier New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ourier New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083" w:rsidRPr="004748C3" w:rsidRDefault="00E61083" w:rsidP="005771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8C3">
              <w:rPr>
                <w:rFonts w:ascii="Liberation Serif" w:eastAsia="Courier New" w:hAnsi="Liberation Serif" w:cs="Liberation Serif"/>
                <w:sz w:val="24"/>
                <w:szCs w:val="24"/>
              </w:rPr>
              <w:t>0</w:t>
            </w:r>
          </w:p>
        </w:tc>
      </w:tr>
    </w:tbl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Повышение профессионализма муниципальных служащих по вопросам противодействия коррупции, в том числе по вопросам формирования нетерпимого отношения к проявлению коррупции, обеспечивается путем организации курсов повышения квалификации, проведения семинаров, обеспечения муниципальных служащих методическими материалами.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 20</w:t>
      </w:r>
      <w:r>
        <w:rPr>
          <w:rFonts w:ascii="Liberation Serif" w:hAnsi="Liberation Serif" w:cs="Liberation Serif"/>
          <w:sz w:val="28"/>
          <w:szCs w:val="28"/>
        </w:rPr>
        <w:t>22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году </w:t>
      </w:r>
      <w:r w:rsidRPr="004748C3">
        <w:rPr>
          <w:rFonts w:ascii="Liberation Serif" w:hAnsi="Liberation Serif" w:cs="Liberation Serif"/>
          <w:sz w:val="28"/>
          <w:szCs w:val="28"/>
        </w:rPr>
        <w:t>обучение по специализированным программам повышения квалификации по антикоррупционной тематике прошл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муниципальны</w:t>
      </w:r>
      <w:r>
        <w:rPr>
          <w:rFonts w:ascii="Liberation Serif" w:hAnsi="Liberation Serif" w:cs="Liberation Serif"/>
          <w:sz w:val="28"/>
          <w:szCs w:val="28"/>
        </w:rPr>
        <w:t>х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служащи</w:t>
      </w:r>
      <w:r>
        <w:rPr>
          <w:rFonts w:ascii="Liberation Serif" w:hAnsi="Liberation Serif" w:cs="Liberation Serif"/>
          <w:sz w:val="28"/>
          <w:szCs w:val="28"/>
        </w:rPr>
        <w:t>х</w:t>
      </w:r>
      <w:r w:rsidRPr="004748C3">
        <w:rPr>
          <w:rFonts w:ascii="Liberation Serif" w:hAnsi="Liberation Serif" w:cs="Liberation Serif"/>
          <w:sz w:val="28"/>
          <w:szCs w:val="28"/>
        </w:rPr>
        <w:t>. Кроме того, отдельные вопросы противодействия коррупции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профилактики коррупционных правонарушений на муниципальной службе предусмотрены во всех образовательных программах по основным направлениям дополнительного профессионального образования (правовое, управленческое, экономическое).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Вместе с тем механизмы противодействия коррупции в деятельности органов местного самоуправления городского округа, в том числе механизм выявления и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разрешения конфликта интересов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муниципальной службе, нуждаются в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дальнейшем совершенствовании.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Достижение целей и задач по вопросам противодействия коррупции требует системного подхода и упорядоченной последовательности действий государственных органов Свердловской области и органов местного самоуправления городского округа, научно-исследовательских, образовательных учреждений, их координации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взаимодействия на различных уровнях управления.</w:t>
      </w:r>
    </w:p>
    <w:p w:rsidR="00E61083" w:rsidRPr="005059EE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5059EE">
        <w:rPr>
          <w:rFonts w:ascii="Liberation Serif" w:hAnsi="Liberation Serif" w:cs="Liberation Serif"/>
          <w:sz w:val="28"/>
          <w:szCs w:val="28"/>
        </w:rPr>
        <w:lastRenderedPageBreak/>
        <w:t xml:space="preserve">Реализация мероприятий по улучшению условий и охраны труда </w:t>
      </w:r>
    </w:p>
    <w:p w:rsidR="00E61083" w:rsidRPr="004748C3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61083" w:rsidRPr="00CA7685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748C3">
        <w:rPr>
          <w:rFonts w:ascii="Liberation Serif" w:hAnsi="Liberation Serif" w:cs="Liberation Serif"/>
          <w:sz w:val="28"/>
          <w:szCs w:val="28"/>
        </w:rPr>
        <w:t>В настоящее время все больше внимания уделяется охране труда в</w:t>
      </w:r>
      <w:r>
        <w:rPr>
          <w:rFonts w:ascii="Liberation Serif" w:hAnsi="Liberation Serif" w:cs="Liberation Serif"/>
          <w:sz w:val="28"/>
          <w:szCs w:val="28"/>
        </w:rPr>
        <w:t> муниципальных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органах. Формирование системы управления охраной труда начинается с проработки </w:t>
      </w:r>
      <w:r>
        <w:rPr>
          <w:rFonts w:ascii="Liberation Serif" w:hAnsi="Liberation Serif" w:cs="Liberation Serif"/>
          <w:sz w:val="28"/>
          <w:szCs w:val="28"/>
        </w:rPr>
        <w:t xml:space="preserve">норм </w:t>
      </w:r>
      <w:r w:rsidRPr="004748C3">
        <w:rPr>
          <w:rFonts w:ascii="Liberation Serif" w:hAnsi="Liberation Serif" w:cs="Liberation Serif"/>
          <w:sz w:val="28"/>
          <w:szCs w:val="28"/>
        </w:rPr>
        <w:t>Трудового Кодекса Российской Федерации</w:t>
      </w:r>
      <w:r>
        <w:rPr>
          <w:rFonts w:ascii="Liberation Serif" w:hAnsi="Liberation Serif" w:cs="Liberation Serif"/>
          <w:sz w:val="28"/>
          <w:szCs w:val="28"/>
        </w:rPr>
        <w:t xml:space="preserve">, федеральных законов </w:t>
      </w:r>
      <w:r w:rsidRPr="00F004CA">
        <w:rPr>
          <w:rFonts w:ascii="Liberation Serif" w:hAnsi="Liberation Serif" w:cs="Liberation Serif"/>
          <w:sz w:val="28"/>
          <w:szCs w:val="28"/>
        </w:rPr>
        <w:t>от 02</w:t>
      </w:r>
      <w:r>
        <w:rPr>
          <w:rFonts w:ascii="Liberation Serif" w:hAnsi="Liberation Serif" w:cs="Liberation Serif"/>
          <w:sz w:val="28"/>
          <w:szCs w:val="28"/>
        </w:rPr>
        <w:t xml:space="preserve"> марта </w:t>
      </w:r>
      <w:r w:rsidRPr="00F004CA">
        <w:rPr>
          <w:rFonts w:ascii="Liberation Serif" w:hAnsi="Liberation Serif" w:cs="Liberation Serif"/>
          <w:sz w:val="28"/>
          <w:szCs w:val="28"/>
        </w:rPr>
        <w:t>2007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F004CA">
        <w:rPr>
          <w:rFonts w:ascii="Liberation Serif" w:hAnsi="Liberation Serif" w:cs="Liberation Serif"/>
          <w:sz w:val="28"/>
          <w:szCs w:val="28"/>
        </w:rPr>
        <w:t xml:space="preserve"> № 25-ФЗ</w:t>
      </w:r>
      <w:r>
        <w:rPr>
          <w:rFonts w:ascii="Liberation Serif" w:hAnsi="Liberation Serif" w:cs="Liberation Serif"/>
          <w:sz w:val="28"/>
          <w:szCs w:val="28"/>
        </w:rPr>
        <w:t xml:space="preserve"> «</w:t>
      </w:r>
      <w:r w:rsidRPr="00F004CA">
        <w:rPr>
          <w:rFonts w:ascii="Liberation Serif" w:hAnsi="Liberation Serif" w:cs="Liberation Serif"/>
          <w:sz w:val="28"/>
          <w:szCs w:val="28"/>
        </w:rPr>
        <w:t>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F004CA">
        <w:rPr>
          <w:rFonts w:ascii="Liberation Serif" w:hAnsi="Liberation Serif" w:cs="Liberation Serif"/>
          <w:sz w:val="28"/>
          <w:szCs w:val="28"/>
        </w:rPr>
        <w:t>муниципальной службе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F004CA">
        <w:rPr>
          <w:rFonts w:ascii="Liberation Serif" w:hAnsi="Liberation Serif" w:cs="Liberation Serif"/>
          <w:sz w:val="28"/>
          <w:szCs w:val="28"/>
        </w:rPr>
        <w:t>Российской Федерации</w:t>
      </w:r>
      <w:r>
        <w:rPr>
          <w:rFonts w:ascii="Liberation Serif" w:hAnsi="Liberation Serif" w:cs="Liberation Serif"/>
          <w:sz w:val="28"/>
          <w:szCs w:val="28"/>
        </w:rPr>
        <w:t xml:space="preserve">», </w:t>
      </w:r>
      <w:r w:rsidRPr="00F004CA">
        <w:rPr>
          <w:rFonts w:ascii="Liberation Serif" w:hAnsi="Liberation Serif" w:cs="Liberation Serif"/>
          <w:sz w:val="28"/>
          <w:szCs w:val="28"/>
        </w:rPr>
        <w:t>от 28</w:t>
      </w:r>
      <w:r>
        <w:rPr>
          <w:rFonts w:ascii="Liberation Serif" w:hAnsi="Liberation Serif" w:cs="Liberation Serif"/>
          <w:sz w:val="28"/>
          <w:szCs w:val="28"/>
        </w:rPr>
        <w:t xml:space="preserve"> декабря </w:t>
      </w:r>
      <w:r w:rsidRPr="00F004CA">
        <w:rPr>
          <w:rFonts w:ascii="Liberation Serif" w:hAnsi="Liberation Serif" w:cs="Liberation Serif"/>
          <w:sz w:val="28"/>
          <w:szCs w:val="28"/>
        </w:rPr>
        <w:t>2013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F004CA">
        <w:rPr>
          <w:rFonts w:ascii="Liberation Serif" w:hAnsi="Liberation Serif" w:cs="Liberation Serif"/>
          <w:sz w:val="28"/>
          <w:szCs w:val="28"/>
        </w:rPr>
        <w:t xml:space="preserve"> № 426-ФЗ</w:t>
      </w:r>
      <w:r>
        <w:rPr>
          <w:rFonts w:ascii="Liberation Serif" w:hAnsi="Liberation Serif" w:cs="Liberation Serif"/>
          <w:sz w:val="28"/>
          <w:szCs w:val="28"/>
        </w:rPr>
        <w:t xml:space="preserve"> «</w:t>
      </w:r>
      <w:r w:rsidRPr="004748C3">
        <w:rPr>
          <w:rFonts w:ascii="Liberation Serif" w:hAnsi="Liberation Serif" w:cs="Liberation Serif"/>
          <w:sz w:val="28"/>
          <w:szCs w:val="28"/>
        </w:rPr>
        <w:t>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специальной оценке условий труда</w:t>
      </w:r>
      <w:r>
        <w:rPr>
          <w:rFonts w:ascii="Liberation Serif" w:hAnsi="Liberation Serif" w:cs="Liberation Serif"/>
          <w:sz w:val="28"/>
          <w:szCs w:val="28"/>
        </w:rPr>
        <w:t>»,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en-US"/>
        </w:rPr>
        <w:t>постановления</w:t>
      </w:r>
      <w:r w:rsidRPr="00CA7685">
        <w:rPr>
          <w:rFonts w:ascii="Liberation Serif" w:hAnsi="Liberation Serif" w:cs="Liberation Serif"/>
          <w:sz w:val="28"/>
          <w:szCs w:val="28"/>
          <w:lang w:eastAsia="en-US"/>
        </w:rPr>
        <w:t xml:space="preserve"> Правительства Российской Федерации от 24.12.2021 №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CA7685">
        <w:rPr>
          <w:rFonts w:ascii="Liberation Serif" w:hAnsi="Liberation Serif" w:cs="Liberation Serif"/>
          <w:sz w:val="28"/>
          <w:szCs w:val="28"/>
          <w:lang w:eastAsia="en-US"/>
        </w:rPr>
        <w:t>246</w:t>
      </w:r>
      <w:r>
        <w:rPr>
          <w:rFonts w:ascii="Liberation Serif" w:hAnsi="Liberation Serif" w:cs="Liberation Serif"/>
          <w:sz w:val="28"/>
          <w:szCs w:val="28"/>
          <w:lang w:eastAsia="en-US"/>
        </w:rPr>
        <w:t>4</w:t>
      </w:r>
      <w:r w:rsidRPr="00CA7685">
        <w:rPr>
          <w:rFonts w:ascii="Liberation Serif" w:hAnsi="Liberation Serif" w:cs="Liberation Serif"/>
          <w:sz w:val="28"/>
          <w:szCs w:val="28"/>
          <w:lang w:eastAsia="en-US"/>
        </w:rPr>
        <w:t xml:space="preserve"> «О порядке обучения по охране труда и проверки знания требований охраны труда»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en-US"/>
        </w:rPr>
        <w:t>п</w:t>
      </w:r>
      <w:r w:rsidRPr="001A1167">
        <w:rPr>
          <w:rFonts w:ascii="Liberation Serif" w:hAnsi="Liberation Serif" w:cs="Liberation Serif"/>
          <w:sz w:val="28"/>
          <w:szCs w:val="28"/>
          <w:lang w:eastAsia="en-US"/>
        </w:rPr>
        <w:t>риказом Министерства труда и социальной защиты Российской Федерации от 29</w:t>
      </w:r>
      <w:r>
        <w:rPr>
          <w:rFonts w:ascii="Liberation Serif" w:hAnsi="Liberation Serif" w:cs="Liberation Serif"/>
          <w:sz w:val="28"/>
          <w:szCs w:val="28"/>
          <w:lang w:eastAsia="en-US"/>
        </w:rPr>
        <w:t>.10.</w:t>
      </w:r>
      <w:r w:rsidRPr="001A1167">
        <w:rPr>
          <w:rFonts w:ascii="Liberation Serif" w:hAnsi="Liberation Serif" w:cs="Liberation Serif"/>
          <w:sz w:val="28"/>
          <w:szCs w:val="28"/>
          <w:lang w:eastAsia="en-US"/>
        </w:rPr>
        <w:t>2021 №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1A1167">
        <w:rPr>
          <w:rFonts w:ascii="Liberation Serif" w:hAnsi="Liberation Serif" w:cs="Liberation Serif"/>
          <w:sz w:val="28"/>
          <w:szCs w:val="28"/>
          <w:lang w:eastAsia="en-US"/>
        </w:rPr>
        <w:t>776н «Об</w:t>
      </w:r>
      <w:r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Pr="001A1167">
        <w:rPr>
          <w:rFonts w:ascii="Liberation Serif" w:hAnsi="Liberation Serif" w:cs="Liberation Serif"/>
          <w:sz w:val="28"/>
          <w:szCs w:val="28"/>
          <w:lang w:eastAsia="en-US"/>
        </w:rPr>
        <w:t>утверждении примерного положения о системе управления охраной труда»</w:t>
      </w:r>
      <w:r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Положение о системе управления охраной труда в </w:t>
      </w:r>
      <w:r>
        <w:rPr>
          <w:rFonts w:ascii="Liberation Serif" w:hAnsi="Liberation Serif" w:cs="Liberation Serif"/>
          <w:sz w:val="28"/>
          <w:szCs w:val="28"/>
        </w:rPr>
        <w:t>муниципальном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органе включает следующие основные вопросы: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– управление и организация работы по охране труда;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– политика и цели государственного органа в области охраны труда; 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– фиксирование задач и функций, возлагаемых на подразделение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работе в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сфере охраны труда;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– обеспечение безопасных условий и охраны труда;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– обучение требованиям охраны труда; 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– организация и проведение инструктажей по охране труда; 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– планирование и исполнение мероприятий в сфере охраны труда; 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– контроль и ответственность за нарушение требований охраны труда.</w:t>
      </w:r>
    </w:p>
    <w:p w:rsidR="00E61083" w:rsidRPr="008C2BE7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4748C3">
        <w:rPr>
          <w:rFonts w:ascii="Liberation Serif" w:hAnsi="Liberation Serif" w:cs="Liberation Serif"/>
          <w:sz w:val="28"/>
          <w:szCs w:val="28"/>
        </w:rPr>
        <w:t>Администрация городского округа осуществляет мероприятия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идентификации вредных и (или) опасных факторов трудового, служебного процесса и оценке уровня их воздействия на всех своих сотрудников. Обязанности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организации и финансированию проведения специальной оценки условий труда</w:t>
      </w:r>
      <w:r>
        <w:rPr>
          <w:rFonts w:ascii="Liberation Serif" w:hAnsi="Liberation Serif" w:cs="Liberation Serif"/>
          <w:sz w:val="28"/>
          <w:szCs w:val="28"/>
        </w:rPr>
        <w:t xml:space="preserve">, медицинские осмотры </w:t>
      </w:r>
      <w:r w:rsidRPr="004748C3">
        <w:rPr>
          <w:rFonts w:ascii="Liberation Serif" w:hAnsi="Liberation Serif" w:cs="Liberation Serif"/>
          <w:sz w:val="28"/>
          <w:szCs w:val="28"/>
        </w:rPr>
        <w:t>возлагается на работодателя.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748C3">
        <w:rPr>
          <w:rFonts w:ascii="Liberation Serif" w:hAnsi="Liberation Serif" w:cs="Liberation Serif"/>
          <w:sz w:val="28"/>
          <w:szCs w:val="28"/>
        </w:rPr>
        <w:t>Порядок проведения медицинских осмотров гражданских служащих определен приказом Министерства здравоохранения и социального развития Российской Федерации от 14.12.2009 №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984н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Об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утверждении Порядка прохождения диспансеризации государственными гражданскими служащими Российской Федерации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муниципальными служащими, перечня заболеваний, препятствующих поступлению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государственную гражданскую службу Российской Федерации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муниципальную службу или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ее прохождению, а также формы заключения медицинского учреждения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. Порядок определения медосмотров работников определен 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t>приказом Министерства здравоохранения Российской Федерации от</w:t>
      </w:r>
      <w:r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t>28.01.2021 № 29н «Об утверждении Порядка проведения обязательных предварительных и</w:t>
      </w:r>
      <w:r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t>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</w:t>
      </w:r>
      <w:r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t>осуществлению работ с</w:t>
      </w:r>
      <w:r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t xml:space="preserve">вредными и (или) опасными производственными факторами, а также работам, 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при</w:t>
      </w:r>
      <w:r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t>выполнении которых проводятся обязательные предварительные и</w:t>
      </w:r>
      <w:r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Pr="008C2BE7">
        <w:rPr>
          <w:rFonts w:ascii="Liberation Serif" w:hAnsi="Liberation Serif" w:cs="Liberation Serif"/>
          <w:sz w:val="28"/>
          <w:szCs w:val="28"/>
          <w:lang w:eastAsia="en-US"/>
        </w:rPr>
        <w:t>периодические медицинские осмотры»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. Медицинские осмотры/диспансеризация </w:t>
      </w:r>
      <w:r>
        <w:rPr>
          <w:rFonts w:ascii="Liberation Serif" w:hAnsi="Liberation Serif" w:cs="Liberation Serif"/>
          <w:sz w:val="28"/>
          <w:szCs w:val="28"/>
        </w:rPr>
        <w:t>муниципальных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служащих проводится врачами-специалистами с использованием лабораторных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функциональных</w:t>
      </w:r>
      <w:r>
        <w:rPr>
          <w:rFonts w:ascii="Liberation Serif" w:hAnsi="Liberation Serif" w:cs="Liberation Serif"/>
          <w:sz w:val="28"/>
          <w:szCs w:val="28"/>
        </w:rPr>
        <w:t xml:space="preserve"> исследований. Диспансеризация муниципальных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служащих проводится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служебное время в течение календарного года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соответствии 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графиком прохождения диспансеризации </w:t>
      </w:r>
      <w:r>
        <w:rPr>
          <w:rFonts w:ascii="Liberation Serif" w:hAnsi="Liberation Serif" w:cs="Liberation Serif"/>
          <w:sz w:val="28"/>
          <w:szCs w:val="28"/>
        </w:rPr>
        <w:t>муниципальными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служащими, утвержденным руководителем</w:t>
      </w:r>
      <w:r>
        <w:rPr>
          <w:rFonts w:ascii="Liberation Serif" w:hAnsi="Liberation Serif" w:cs="Liberation Serif"/>
          <w:sz w:val="28"/>
          <w:szCs w:val="28"/>
        </w:rPr>
        <w:t xml:space="preserve"> органа местного самоуправления</w:t>
      </w:r>
      <w:r w:rsidRPr="004748C3">
        <w:rPr>
          <w:rFonts w:ascii="Liberation Serif" w:hAnsi="Liberation Serif" w:cs="Liberation Serif"/>
          <w:sz w:val="28"/>
          <w:szCs w:val="28"/>
        </w:rPr>
        <w:t>.</w:t>
      </w:r>
    </w:p>
    <w:p w:rsidR="00E61083" w:rsidRPr="004748C3" w:rsidRDefault="00E61083" w:rsidP="00E6108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61083" w:rsidRPr="005059EE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5059EE">
        <w:rPr>
          <w:rFonts w:ascii="Liberation Serif" w:hAnsi="Liberation Serif" w:cs="Liberation Serif"/>
          <w:sz w:val="28"/>
          <w:szCs w:val="28"/>
        </w:rPr>
        <w:t xml:space="preserve">Развитие информационного общества городского округа 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В целях реализации государственной политики в сфере связи, информационных технологий и массовых коммуникаций, совершенствования механизма государственного управления на основе применения информационных технологий, оказания </w:t>
      </w:r>
      <w:r>
        <w:rPr>
          <w:rFonts w:ascii="Liberation Serif" w:hAnsi="Liberation Serif" w:cs="Liberation Serif"/>
          <w:sz w:val="28"/>
          <w:szCs w:val="28"/>
        </w:rPr>
        <w:t>муниципальных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услуг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сфере информационных технологий для формирования информационных ресурсов городского округа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обеспечения доступа к ним,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обеспечения защиты информации предусмотрена </w:t>
      </w:r>
      <w:r w:rsidRPr="009F02A1">
        <w:rPr>
          <w:rFonts w:ascii="Liberation Serif" w:hAnsi="Liberation Serif" w:cs="Liberation Serif"/>
          <w:sz w:val="28"/>
          <w:szCs w:val="28"/>
        </w:rPr>
        <w:t>подпрограмма «Развитие информационного пространства».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Реализация мероприятий указанной подпрограммы направлена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решение следующих проблем: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1.</w:t>
      </w:r>
      <w:r w:rsidRPr="004748C3">
        <w:rPr>
          <w:rFonts w:ascii="Liberation Serif" w:hAnsi="Liberation Serif" w:cs="Liberation Serif"/>
          <w:sz w:val="28"/>
          <w:szCs w:val="28"/>
        </w:rPr>
        <w:tab/>
        <w:t>Отсутствие единой сети передачи данных, связывающей органы местного самоуправления городского округа, муниципальные предприятия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учреждения с органами исполнительной власти Свердловской области, государственными учреждениями Свердловской области, единого регламента и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стандарта обмена данными в связи с чем обмен информацией между участниками процесса оказания электронных услуг затруднен либо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настоящий момент невозможен.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2.</w:t>
      </w:r>
      <w:r w:rsidRPr="004748C3">
        <w:rPr>
          <w:rFonts w:ascii="Liberation Serif" w:hAnsi="Liberation Serif" w:cs="Liberation Serif"/>
          <w:sz w:val="28"/>
          <w:szCs w:val="28"/>
        </w:rPr>
        <w:tab/>
        <w:t>Наличие высокого уровня различия в использовании информационных технологий муниципальными учреждениями, различными слоями общества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органами местного самоуправления.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3. </w:t>
      </w:r>
      <w:r w:rsidRPr="004748C3">
        <w:rPr>
          <w:rFonts w:ascii="Liberation Serif" w:hAnsi="Liberation Serif" w:cs="Liberation Serif"/>
          <w:sz w:val="28"/>
          <w:szCs w:val="28"/>
        </w:rPr>
        <w:tab/>
        <w:t>Закупка и внедрение программного обеспечения производится без использования стандартных подходов, что приводит к несовместимости программно-технических решений, невозможности обмена данными между различными информационными системами, используемыми отраслевыми органами, структурными подразделениями Администрации городского округа, муниципальными предприятиями и учреждениями.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4.</w:t>
      </w:r>
      <w:r w:rsidRPr="004748C3">
        <w:rPr>
          <w:rFonts w:ascii="Liberation Serif" w:hAnsi="Liberation Serif" w:cs="Liberation Serif"/>
          <w:sz w:val="28"/>
          <w:szCs w:val="28"/>
        </w:rPr>
        <w:tab/>
        <w:t>Преимущественно локальный, ведомственный характер внедрения современных средств на основе информационных технологий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муниципальном управлении.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Pr="004748C3">
        <w:rPr>
          <w:rFonts w:ascii="Liberation Serif" w:hAnsi="Liberation Serif" w:cs="Liberation Serif"/>
          <w:sz w:val="28"/>
          <w:szCs w:val="28"/>
        </w:rPr>
        <w:t>.</w:t>
      </w:r>
      <w:r w:rsidRPr="004748C3">
        <w:rPr>
          <w:rFonts w:ascii="Liberation Serif" w:hAnsi="Liberation Serif" w:cs="Liberation Serif"/>
          <w:sz w:val="28"/>
          <w:szCs w:val="28"/>
        </w:rPr>
        <w:tab/>
        <w:t>Недостаточность темпов развития инфраструктуры доступа населения 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сайтам органов государственной власти и другим средствам информационно-справочной поддержки и обслуживания населения.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6</w:t>
      </w:r>
      <w:r w:rsidRPr="004748C3">
        <w:rPr>
          <w:rFonts w:ascii="Liberation Serif" w:hAnsi="Liberation Serif" w:cs="Liberation Serif"/>
          <w:sz w:val="28"/>
          <w:szCs w:val="28"/>
        </w:rPr>
        <w:t>.</w:t>
      </w:r>
      <w:r w:rsidRPr="004748C3">
        <w:rPr>
          <w:rFonts w:ascii="Liberation Serif" w:hAnsi="Liberation Serif" w:cs="Liberation Serif"/>
          <w:sz w:val="28"/>
          <w:szCs w:val="28"/>
        </w:rPr>
        <w:tab/>
        <w:t>Наличие низких навыков использования гражданами информационных технологий.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Для решения указанных проблем, имеющих комплексный межведомственный характер, требуются консолидация ресурсов, проведение организационных изменений и обеспечение согласованности действий Администрации городского округа с органами государственной власти Свердловской области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внедрению информационных технологий, что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возможно реализовать только посредством программно-целевого подхода. Альтернативные подходы приведут к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избыточным бюджетным расходам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не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позволят оптимально разрешить актуальные проблемы информатизации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городском округе.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Учитывая, что целью подпрограммы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Развитие информационного </w:t>
      </w:r>
      <w:r>
        <w:rPr>
          <w:rFonts w:ascii="Liberation Serif" w:hAnsi="Liberation Serif" w:cs="Liberation Serif"/>
          <w:sz w:val="28"/>
          <w:szCs w:val="28"/>
        </w:rPr>
        <w:t>пространства»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является формирование современной информационной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телекоммуникационной инфраструктуры, обеспечение высокого уровня ее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доступности для предоставления на ее основе качественных услуг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социально значимых сферах, ее реализация позволит повысить качество жизни граждан, обеспечить развитие экономической, социально-политической, культурной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духовной сфер жизни общества, что является основной целью социально-экономического развития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Отдел информационных технологий Администрации городского округа (далее – Отдел) как ответственный исполнитель подпрограммы является структурным подразделением Администрации городского округа, деятельность которого направлена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реализацию государственной политики в сфере связи, информационных технологий, совершенствования механизма государственного управления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основе применения информационных технологий, оказания государственных услуг в сфере информационных технологий для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формирования информационных ресурсов городского округа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обеспечения доступа к ним, а также обеспечения защиты информации.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Цели и задачи подпрограммы сформированы в соответствии с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основными стратегическими документами: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Указом Президента Российской Федерации от 07</w:t>
      </w:r>
      <w:r>
        <w:rPr>
          <w:rFonts w:ascii="Liberation Serif" w:hAnsi="Liberation Serif" w:cs="Liberation Serif"/>
          <w:sz w:val="28"/>
          <w:szCs w:val="28"/>
        </w:rPr>
        <w:t xml:space="preserve"> мая 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2012 </w:t>
      </w:r>
      <w:r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4748C3">
        <w:rPr>
          <w:rFonts w:ascii="Liberation Serif" w:hAnsi="Liberation Serif" w:cs="Liberation Serif"/>
          <w:sz w:val="28"/>
          <w:szCs w:val="28"/>
        </w:rPr>
        <w:t>№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601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Об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основных направлениях совершенствования системы государственного управления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>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 xml:space="preserve">2) Государственной программой Российской Федерации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748C3">
        <w:rPr>
          <w:rFonts w:ascii="Liberation Serif" w:hAnsi="Liberation Serif" w:cs="Liberation Serif"/>
          <w:sz w:val="28"/>
          <w:szCs w:val="28"/>
        </w:rPr>
        <w:t>Информационное общество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748C3">
        <w:rPr>
          <w:rFonts w:ascii="Liberation Serif" w:hAnsi="Liberation Serif" w:cs="Liberation Serif"/>
          <w:sz w:val="28"/>
          <w:szCs w:val="28"/>
        </w:rPr>
        <w:t>, утвержденной постановлением Правительства Российской Федерации от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15.04.2014 № 313;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Стратегией развития отрасли информационных технологий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Российской Федерации на 2014-2020 годы и на перспективу до 2025 года, утвержденной распоряжением Правительства Российской Федерации от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01.11.2013 № 2036-р;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4) Стратегией социально-экономического развития городского округа, утвержденной Решением Думы Арамильского городского округа от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25.12.2018 №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47/1.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lastRenderedPageBreak/>
        <w:t>Указанными стратегическими документами федерального, регионального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муниципального уровня поставлены цели и задачи развития связи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информационных технологий, на достижение которых направлена реализация мероприятий подпрограммы: формирование современной информационной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телекоммуникационной инфраструктуры, обеспечение высокого уровня ее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доступности для предоставления на ее основе качественных услуг в социально значимых сферах.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Подпрограмма реализуется в 202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4748C3">
        <w:rPr>
          <w:rFonts w:ascii="Liberation Serif" w:hAnsi="Liberation Serif" w:cs="Liberation Serif"/>
          <w:sz w:val="28"/>
          <w:szCs w:val="28"/>
        </w:rPr>
        <w:t>-202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годах. Основные усилия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период реализации подпрограммы будут сосредоточены на выполнении работ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создании муниципального сегмента единой информационно-коммуникационной инфраструктуры городского округа.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Реализация комплекса мероприятий подпрограммы в период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748C3">
        <w:rPr>
          <w:rFonts w:ascii="Liberation Serif" w:hAnsi="Liberation Serif" w:cs="Liberation Serif"/>
          <w:sz w:val="28"/>
          <w:szCs w:val="28"/>
        </w:rPr>
        <w:t xml:space="preserve"> года сопряжена со следующими рисками: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1) риск ухудшения ситуации в мировой и Российской экономике, в том числе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Свердловской области и городском округе, что может выразиться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снижении темпов экономического роста и уровня инвестиционной активности, возникновении бюджетного дефицита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сокращении объемов финансирования развития связи и информационных технологий городского округа;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2) возможные изменения налогового законодательства Российской Федерации, приводящие к ухудшению финансово-экономического положения инвесторов, что может негативно сказаться на инвестиционной привлекательности сферы связи, информационных технологий;</w:t>
      </w:r>
    </w:p>
    <w:p w:rsidR="00E61083" w:rsidRPr="004748C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748C3">
        <w:rPr>
          <w:rFonts w:ascii="Liberation Serif" w:hAnsi="Liberation Serif" w:cs="Liberation Serif"/>
          <w:sz w:val="28"/>
          <w:szCs w:val="28"/>
        </w:rPr>
        <w:t>3) несоблюдение нормативных сроков реализации мероприятий подпрограммы в случае возникновения недостатка финансирования, что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748C3">
        <w:rPr>
          <w:rFonts w:ascii="Liberation Serif" w:hAnsi="Liberation Serif" w:cs="Liberation Serif"/>
          <w:sz w:val="28"/>
          <w:szCs w:val="28"/>
        </w:rPr>
        <w:t>может повлечь риски не достижения установленных значений целевых показателей, целей и задач подпрограммы.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E61083" w:rsidRPr="005059EE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5059EE">
        <w:rPr>
          <w:rFonts w:ascii="Liberation Serif" w:hAnsi="Liberation Serif" w:cs="Liberation Serif"/>
          <w:sz w:val="28"/>
          <w:szCs w:val="28"/>
        </w:rPr>
        <w:t>Средства массовой информации в городском округе</w:t>
      </w:r>
    </w:p>
    <w:p w:rsidR="00E61083" w:rsidRPr="004D7EF3" w:rsidRDefault="00E61083" w:rsidP="00E6108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E61083" w:rsidRPr="004D7EF3" w:rsidRDefault="00E61083" w:rsidP="00E61083">
      <w:pPr>
        <w:pStyle w:val="a5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7EF3">
        <w:rPr>
          <w:rFonts w:ascii="Liberation Serif" w:hAnsi="Liberation Serif" w:cs="Liberation Serif"/>
          <w:sz w:val="28"/>
          <w:szCs w:val="28"/>
        </w:rPr>
        <w:t>Проблема реализации прав граждан на получение полной, достоверной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своевременной информации в городском округе актуальна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требует принятия мер со стороны органов местного самоуправления. Средства массовой информации в реализации этого права имеют исключительное значение.</w:t>
      </w:r>
    </w:p>
    <w:p w:rsidR="00E61083" w:rsidRPr="004D7EF3" w:rsidRDefault="00E61083" w:rsidP="00E61083">
      <w:pPr>
        <w:pStyle w:val="a5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7EF3">
        <w:rPr>
          <w:rFonts w:ascii="Liberation Serif" w:hAnsi="Liberation Serif" w:cs="Liberation Serif"/>
          <w:sz w:val="28"/>
          <w:szCs w:val="28"/>
        </w:rPr>
        <w:t xml:space="preserve">Данная </w:t>
      </w:r>
      <w:r>
        <w:rPr>
          <w:rFonts w:ascii="Liberation Serif" w:hAnsi="Liberation Serif" w:cs="Liberation Serif"/>
          <w:sz w:val="28"/>
          <w:szCs w:val="28"/>
        </w:rPr>
        <w:t>подпрограмма</w:t>
      </w:r>
      <w:r w:rsidRPr="004D7EF3">
        <w:rPr>
          <w:rFonts w:ascii="Liberation Serif" w:hAnsi="Liberation Serif" w:cs="Liberation Serif"/>
          <w:sz w:val="28"/>
          <w:szCs w:val="28"/>
        </w:rPr>
        <w:t xml:space="preserve"> в части развития средств массовой информации направлена на реализацию государственной информационной политики,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округа путем повышения уровня информированности населения.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территории округа издается газета «Арамильские вести», которая является официальным источником опубликования нормативно-правовых актов, регламентирующих деятельность органов местного самоуправления. Экономическая поддержка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 xml:space="preserve">развитие редакции газеты по приоритетным </w:t>
      </w:r>
      <w:r w:rsidRPr="004D7EF3">
        <w:rPr>
          <w:rFonts w:ascii="Liberation Serif" w:hAnsi="Liberation Serif" w:cs="Liberation Serif"/>
          <w:sz w:val="28"/>
          <w:szCs w:val="28"/>
        </w:rPr>
        <w:lastRenderedPageBreak/>
        <w:t>направлениям является одной из форм деятельности органов местного самоуправления городского округа по защите прав и свобод человека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D7EF3">
        <w:rPr>
          <w:rFonts w:ascii="Liberation Serif" w:hAnsi="Liberation Serif" w:cs="Liberation Serif"/>
          <w:sz w:val="28"/>
          <w:szCs w:val="28"/>
        </w:rPr>
        <w:t>и гражданина.</w:t>
      </w:r>
    </w:p>
    <w:p w:rsidR="00E61083" w:rsidRPr="004D7EF3" w:rsidRDefault="00E61083" w:rsidP="00E61083">
      <w:pPr>
        <w:pStyle w:val="a5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 w:rsidRPr="004D7EF3">
        <w:rPr>
          <w:rFonts w:ascii="Liberation Serif" w:hAnsi="Liberation Serif" w:cs="Liberation Serif"/>
          <w:sz w:val="28"/>
          <w:szCs w:val="28"/>
        </w:rPr>
        <w:t xml:space="preserve">азета «Арамильские вести», издаваемая муниципальным бюджетным учреждением «Редакция газеты «Арамильские вести», является информационным ресурсом в округе с разовым тиражом 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4D7EF3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>00</w:t>
      </w:r>
      <w:r w:rsidRPr="004D7EF3">
        <w:rPr>
          <w:rFonts w:ascii="Liberation Serif" w:hAnsi="Liberation Serif" w:cs="Liberation Serif"/>
          <w:sz w:val="28"/>
          <w:szCs w:val="28"/>
        </w:rPr>
        <w:t xml:space="preserve"> экземпляров. На сегодняшний день </w:t>
      </w:r>
      <w:r>
        <w:rPr>
          <w:rFonts w:ascii="Liberation Serif" w:hAnsi="Liberation Serif" w:cs="Liberation Serif"/>
          <w:sz w:val="28"/>
          <w:szCs w:val="28"/>
        </w:rPr>
        <w:t>г</w:t>
      </w:r>
      <w:r w:rsidRPr="004D7EF3">
        <w:rPr>
          <w:rFonts w:ascii="Liberation Serif" w:hAnsi="Liberation Serif" w:cs="Liberation Serif"/>
          <w:sz w:val="28"/>
          <w:szCs w:val="28"/>
        </w:rPr>
        <w:t>азета «Арамильские вести»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D7EF3">
        <w:rPr>
          <w:rFonts w:ascii="Liberation Serif" w:hAnsi="Liberation Serif" w:cs="Liberation Serif"/>
          <w:sz w:val="28"/>
          <w:szCs w:val="28"/>
        </w:rPr>
        <w:t>для большинства жителей округа является основным источником информации 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деятельности органов местного самоуправления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городском округе. Поэтому создание благоприятных условий для работы редакции, укрепление ее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материально-технической базы являются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сегодняшний день важными вопросами.</w:t>
      </w:r>
    </w:p>
    <w:p w:rsidR="00E61083" w:rsidRPr="004D7EF3" w:rsidRDefault="00E61083" w:rsidP="00E61083">
      <w:pPr>
        <w:pStyle w:val="a5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7EF3">
        <w:rPr>
          <w:rFonts w:ascii="Liberation Serif" w:hAnsi="Liberation Serif" w:cs="Liberation Serif"/>
          <w:sz w:val="28"/>
          <w:szCs w:val="28"/>
        </w:rPr>
        <w:t>В то же время редакция газеты не располагает собственными финансовыми средствами в полном объеме, чтобы издавать социально значимую продукцию – городскую еженедельную газету «Арамильские вести». Поэтому складывающаяся экономическая ситуация вызывает необходимость сохранения субсидий для газеты, предоставляем</w:t>
      </w:r>
      <w:r>
        <w:rPr>
          <w:rFonts w:ascii="Liberation Serif" w:hAnsi="Liberation Serif" w:cs="Liberation Serif"/>
          <w:sz w:val="28"/>
          <w:szCs w:val="28"/>
        </w:rPr>
        <w:t>ых</w:t>
      </w:r>
      <w:r w:rsidRPr="004D7EF3">
        <w:rPr>
          <w:rFonts w:ascii="Liberation Serif" w:hAnsi="Liberation Serif" w:cs="Liberation Serif"/>
          <w:sz w:val="28"/>
          <w:szCs w:val="28"/>
        </w:rPr>
        <w:t xml:space="preserve"> из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7EF3">
        <w:rPr>
          <w:rFonts w:ascii="Liberation Serif" w:hAnsi="Liberation Serif" w:cs="Liberation Serif"/>
          <w:sz w:val="28"/>
          <w:szCs w:val="28"/>
        </w:rPr>
        <w:t>бюджета городс</w:t>
      </w:r>
      <w:r>
        <w:rPr>
          <w:rFonts w:ascii="Liberation Serif" w:hAnsi="Liberation Serif" w:cs="Liberation Serif"/>
          <w:sz w:val="28"/>
          <w:szCs w:val="28"/>
        </w:rPr>
        <w:t>кого округа.</w:t>
      </w:r>
    </w:p>
    <w:p w:rsidR="00E61083" w:rsidRDefault="00E61083" w:rsidP="00E6108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E61083" w:rsidRPr="005059EE" w:rsidRDefault="00E61083" w:rsidP="00E61083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5059EE">
        <w:rPr>
          <w:rFonts w:ascii="Liberation Serif" w:hAnsi="Liberation Serif" w:cs="Liberation Serif"/>
          <w:sz w:val="28"/>
          <w:szCs w:val="28"/>
        </w:rPr>
        <w:t>Архивная отрасль в городском округе</w:t>
      </w:r>
    </w:p>
    <w:p w:rsidR="00E61083" w:rsidRDefault="00E61083" w:rsidP="00E61083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61083" w:rsidRPr="004D5D59" w:rsidRDefault="00E61083" w:rsidP="00E61083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Архивные документы являются составной частью информационных ресурсов, открытость и доступность которых закреплена в статье 29 Конституции Российской Федерации, Федеральных законах от 27</w:t>
      </w:r>
      <w:r>
        <w:rPr>
          <w:rFonts w:ascii="Liberation Serif" w:hAnsi="Liberation Serif" w:cs="Liberation Serif"/>
          <w:sz w:val="28"/>
          <w:szCs w:val="28"/>
        </w:rPr>
        <w:t xml:space="preserve"> июля </w:t>
      </w:r>
      <w:r w:rsidRPr="004D5D59">
        <w:rPr>
          <w:rFonts w:ascii="Liberation Serif" w:hAnsi="Liberation Serif" w:cs="Liberation Serif"/>
          <w:sz w:val="28"/>
          <w:szCs w:val="28"/>
        </w:rPr>
        <w:t>2006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4D5D59">
        <w:rPr>
          <w:rFonts w:ascii="Liberation Serif" w:hAnsi="Liberation Serif" w:cs="Liberation Serif"/>
          <w:sz w:val="28"/>
          <w:szCs w:val="28"/>
        </w:rPr>
        <w:t xml:space="preserve"> № 149-ФЗ «Об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информации, информационных технологиях и о защите информации», от 22</w:t>
      </w:r>
      <w:r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Pr="004D5D59">
        <w:rPr>
          <w:rFonts w:ascii="Liberation Serif" w:hAnsi="Liberation Serif" w:cs="Liberation Serif"/>
          <w:sz w:val="28"/>
          <w:szCs w:val="28"/>
        </w:rPr>
        <w:t xml:space="preserve">2004 </w:t>
      </w:r>
      <w:r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4D5D59">
        <w:rPr>
          <w:rFonts w:ascii="Liberation Serif" w:hAnsi="Liberation Serif" w:cs="Liberation Serif"/>
          <w:sz w:val="28"/>
          <w:szCs w:val="28"/>
        </w:rPr>
        <w:t>№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125-ФЗ «Об архивном деле в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Российской Федерации». Документы Архивного фонда Российской Федерации являются специфическим видом имущества, который не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отражается на балансе архивов и, согласно Федеральному закону от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22</w:t>
      </w:r>
      <w:r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Pr="004D5D59">
        <w:rPr>
          <w:rFonts w:ascii="Liberation Serif" w:hAnsi="Liberation Serif" w:cs="Liberation Serif"/>
          <w:sz w:val="28"/>
          <w:szCs w:val="28"/>
        </w:rPr>
        <w:t>2004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4D5D59">
        <w:rPr>
          <w:rFonts w:ascii="Liberation Serif" w:hAnsi="Liberation Serif" w:cs="Liberation Serif"/>
          <w:sz w:val="28"/>
          <w:szCs w:val="28"/>
        </w:rPr>
        <w:t xml:space="preserve"> № 125-ФЗ «Об архивном деле в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Российской Федерации» не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подлежит приватизации и уничтожению.</w:t>
      </w:r>
    </w:p>
    <w:p w:rsidR="00E61083" w:rsidRPr="004D5D59" w:rsidRDefault="00E61083" w:rsidP="00E61083">
      <w:pPr>
        <w:tabs>
          <w:tab w:val="left" w:pos="0"/>
          <w:tab w:val="left" w:pos="226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 xml:space="preserve">На территории городского округа деятельность в сфере архивного дела осуществляет 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М</w:t>
      </w:r>
      <w:r>
        <w:rPr>
          <w:rFonts w:ascii="Liberation Serif" w:hAnsi="Liberation Serif" w:cs="Liberation Serif"/>
          <w:color w:val="000000"/>
          <w:sz w:val="28"/>
          <w:szCs w:val="28"/>
        </w:rPr>
        <w:t>униципальное казенное учреждение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 архив Арамильского городского округа»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(далее - </w:t>
      </w:r>
      <w:r w:rsidRPr="004D5D59">
        <w:rPr>
          <w:rFonts w:ascii="Liberation Serif" w:hAnsi="Liberation Serif" w:cs="Liberation Serif"/>
          <w:sz w:val="28"/>
          <w:szCs w:val="28"/>
        </w:rPr>
        <w:t>МКУ «Муниципальный архив Арамильского городского округа»</w:t>
      </w:r>
      <w:r>
        <w:rPr>
          <w:rFonts w:ascii="Liberation Serif" w:hAnsi="Liberation Serif" w:cs="Liberation Serif"/>
          <w:sz w:val="28"/>
          <w:szCs w:val="28"/>
        </w:rPr>
        <w:t>)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, работа которого строится в соответствии с</w:t>
      </w:r>
      <w:r w:rsidR="00A73B25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годовым планом работы, </w:t>
      </w:r>
      <w:r w:rsidRPr="004D5D59">
        <w:rPr>
          <w:rFonts w:ascii="Liberation Serif" w:hAnsi="Liberation Serif" w:cs="Liberation Serif"/>
          <w:sz w:val="28"/>
          <w:szCs w:val="28"/>
        </w:rPr>
        <w:t>утвержденным Главой городского округа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 xml:space="preserve">согласованным с Управлением архивами Свердловской области. </w:t>
      </w:r>
    </w:p>
    <w:p w:rsidR="00E61083" w:rsidRPr="004D5D59" w:rsidRDefault="00E61083" w:rsidP="00E61083">
      <w:pPr>
        <w:tabs>
          <w:tab w:val="left" w:pos="0"/>
          <w:tab w:val="left" w:pos="226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Основными направлениями деятельности МКУ «Муниципальный архив Арамильского городского округа» являются:</w:t>
      </w:r>
    </w:p>
    <w:p w:rsidR="00E61083" w:rsidRPr="004D5D59" w:rsidRDefault="00E61083" w:rsidP="00E61083">
      <w:pPr>
        <w:tabs>
          <w:tab w:val="left" w:pos="0"/>
          <w:tab w:val="left" w:pos="226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D5D59">
        <w:rPr>
          <w:rFonts w:ascii="Liberation Serif" w:hAnsi="Liberation Serif" w:cs="Liberation Serif"/>
          <w:sz w:val="28"/>
          <w:szCs w:val="28"/>
        </w:rPr>
        <w:t>обеспечение сохранности и государственный учет документов Архивного фонда Российской Федерации;</w:t>
      </w:r>
    </w:p>
    <w:p w:rsidR="00E61083" w:rsidRPr="004D5D59" w:rsidRDefault="00E61083" w:rsidP="00E61083">
      <w:pPr>
        <w:tabs>
          <w:tab w:val="left" w:pos="0"/>
          <w:tab w:val="left" w:pos="7660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D5D59">
        <w:rPr>
          <w:rFonts w:ascii="Liberation Serif" w:hAnsi="Liberation Serif" w:cs="Liberation Serif"/>
          <w:sz w:val="28"/>
          <w:szCs w:val="28"/>
        </w:rPr>
        <w:t>формирование Архивного фонда Российской Федерации;</w:t>
      </w:r>
    </w:p>
    <w:p w:rsidR="00E61083" w:rsidRPr="004D5D59" w:rsidRDefault="00E61083" w:rsidP="00E61083">
      <w:pPr>
        <w:tabs>
          <w:tab w:val="left" w:pos="0"/>
          <w:tab w:val="left" w:pos="540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D5D59">
        <w:rPr>
          <w:rFonts w:ascii="Liberation Serif" w:hAnsi="Liberation Serif" w:cs="Liberation Serif"/>
          <w:sz w:val="28"/>
          <w:szCs w:val="28"/>
        </w:rPr>
        <w:t>создание информационно-поисковых средств к архивным документам;</w:t>
      </w:r>
    </w:p>
    <w:p w:rsidR="00E61083" w:rsidRPr="004D5D59" w:rsidRDefault="00E61083" w:rsidP="00E61083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D5D59">
        <w:rPr>
          <w:rFonts w:ascii="Liberation Serif" w:hAnsi="Liberation Serif" w:cs="Liberation Serif"/>
          <w:sz w:val="28"/>
          <w:szCs w:val="28"/>
        </w:rPr>
        <w:t>предоставление информационных услуг и использование архивных документов.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lastRenderedPageBreak/>
        <w:t>По состоянию на 01</w:t>
      </w:r>
      <w:r>
        <w:rPr>
          <w:rFonts w:ascii="Liberation Serif" w:hAnsi="Liberation Serif" w:cs="Liberation Serif"/>
          <w:sz w:val="28"/>
          <w:szCs w:val="28"/>
        </w:rPr>
        <w:t xml:space="preserve"> июля </w:t>
      </w:r>
      <w:r w:rsidRPr="004D5D59">
        <w:rPr>
          <w:rFonts w:ascii="Liberation Serif" w:hAnsi="Liberation Serif" w:cs="Liberation Serif"/>
          <w:sz w:val="28"/>
          <w:szCs w:val="28"/>
        </w:rPr>
        <w:t xml:space="preserve">2023 </w:t>
      </w:r>
      <w:r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4D5D59">
        <w:rPr>
          <w:rFonts w:ascii="Liberation Serif" w:hAnsi="Liberation Serif" w:cs="Liberation Serif"/>
          <w:sz w:val="28"/>
          <w:szCs w:val="28"/>
        </w:rPr>
        <w:t>в МКУ «Муниципальный архив Арамильского городского округа» всего на хранении находится 6748 (</w:t>
      </w:r>
      <w:r>
        <w:rPr>
          <w:rFonts w:ascii="Liberation Serif" w:hAnsi="Liberation Serif" w:cs="Liberation Serif"/>
          <w:sz w:val="28"/>
          <w:szCs w:val="28"/>
        </w:rPr>
        <w:t>Ш</w:t>
      </w:r>
      <w:r w:rsidRPr="004D5D59">
        <w:rPr>
          <w:rFonts w:ascii="Liberation Serif" w:hAnsi="Liberation Serif" w:cs="Liberation Serif"/>
          <w:sz w:val="28"/>
          <w:szCs w:val="28"/>
        </w:rPr>
        <w:t>есть тысяч семьсот сорок восемь) единиц хранения архивных документов, составляющих информационную часть историко-документального наследия городского округа. Из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них</w:t>
      </w:r>
      <w:r w:rsidRPr="004D5D59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4D5D59">
        <w:rPr>
          <w:rFonts w:ascii="Liberation Serif" w:hAnsi="Liberation Serif" w:cs="Liberation Serif"/>
          <w:sz w:val="28"/>
          <w:szCs w:val="28"/>
        </w:rPr>
        <w:t>2450</w:t>
      </w:r>
      <w:r w:rsidRPr="004D5D59">
        <w:rPr>
          <w:rFonts w:ascii="Liberation Serif" w:hAnsi="Liberation Serif" w:cs="Liberation Serif"/>
          <w:b/>
          <w:szCs w:val="22"/>
        </w:rPr>
        <w:t xml:space="preserve"> </w:t>
      </w:r>
      <w:r w:rsidRPr="004D5D59">
        <w:rPr>
          <w:rFonts w:ascii="Liberation Serif" w:hAnsi="Liberation Serif" w:cs="Liberation Serif"/>
          <w:sz w:val="28"/>
          <w:szCs w:val="28"/>
        </w:rPr>
        <w:t>(</w:t>
      </w:r>
      <w:r>
        <w:rPr>
          <w:rFonts w:ascii="Liberation Serif" w:hAnsi="Liberation Serif" w:cs="Liberation Serif"/>
          <w:sz w:val="28"/>
          <w:szCs w:val="28"/>
        </w:rPr>
        <w:t>Д</w:t>
      </w:r>
      <w:r w:rsidRPr="004D5D59">
        <w:rPr>
          <w:rFonts w:ascii="Liberation Serif" w:hAnsi="Liberation Serif" w:cs="Liberation Serif"/>
          <w:sz w:val="28"/>
          <w:szCs w:val="28"/>
        </w:rPr>
        <w:t>ве тысячи четыреста пятьдесят)</w:t>
      </w:r>
      <w:r w:rsidRPr="004D5D59">
        <w:rPr>
          <w:rFonts w:ascii="Liberation Serif" w:hAnsi="Liberation Serif" w:cs="Liberation Serif"/>
          <w:b/>
          <w:szCs w:val="22"/>
        </w:rPr>
        <w:t xml:space="preserve"> </w:t>
      </w:r>
      <w:r w:rsidRPr="004D5D59">
        <w:rPr>
          <w:rFonts w:ascii="Liberation Serif" w:hAnsi="Liberation Serif" w:cs="Liberation Serif"/>
          <w:sz w:val="28"/>
          <w:szCs w:val="28"/>
        </w:rPr>
        <w:t>единиц хранения, относящихся к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государственной собственности Свердловской области, находятся на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хранении, в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МКУ «Муниципальный архив Арамильского городского округа».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В МКУ «Муниципальный архив Арамильского городского округа» ведутся документы государственного учета архивных документов, имеется вспомогательная картотека постановлений о выделении земельных участков на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территории городского округа, вспомогательная тематическая картотека по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истории учреждений, а также картотека на фотодокументы. Ведется база данных «Архивный фонд», учетная база, база данных «Архивный фонд» на документы государственной собственности, учетная база «Учет плановых показателей», электронная база фотодокументов «</w:t>
      </w:r>
      <w:proofErr w:type="spellStart"/>
      <w:r w:rsidRPr="004D5D59">
        <w:rPr>
          <w:rFonts w:ascii="Liberation Serif" w:hAnsi="Liberation Serif" w:cs="Liberation Serif"/>
          <w:sz w:val="28"/>
          <w:szCs w:val="28"/>
        </w:rPr>
        <w:t>Фотокаталог</w:t>
      </w:r>
      <w:proofErr w:type="spellEnd"/>
      <w:r w:rsidRPr="004D5D59">
        <w:rPr>
          <w:rFonts w:ascii="Liberation Serif" w:hAnsi="Liberation Serif" w:cs="Liberation Serif"/>
          <w:sz w:val="28"/>
          <w:szCs w:val="28"/>
        </w:rPr>
        <w:t>», все фотодокументы оцифрованы. В МКУ «Муниципальный архив Арамильского городского округа» разработан и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4D5D59">
        <w:rPr>
          <w:rFonts w:ascii="Liberation Serif" w:hAnsi="Liberation Serif" w:cs="Liberation Serif"/>
          <w:sz w:val="28"/>
          <w:szCs w:val="28"/>
        </w:rPr>
        <w:t>ведётся сайт учреждения.</w:t>
      </w:r>
    </w:p>
    <w:p w:rsidR="00E61083" w:rsidRDefault="00E61083" w:rsidP="00E61083">
      <w:pPr>
        <w:tabs>
          <w:tab w:val="left" w:pos="7660"/>
        </w:tabs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 xml:space="preserve">Муниципальные </w:t>
      </w:r>
      <w:r w:rsidRPr="004D5D59">
        <w:rPr>
          <w:rFonts w:ascii="Liberation Serif" w:hAnsi="Liberation Serif" w:cs="Liberation Serif"/>
          <w:bCs/>
          <w:sz w:val="28"/>
          <w:szCs w:val="28"/>
        </w:rPr>
        <w:t>услуги по</w:t>
      </w:r>
      <w:r w:rsidRPr="004D5D59">
        <w:rPr>
          <w:rFonts w:ascii="Liberation Serif" w:hAnsi="Liberation Serif" w:cs="Liberation Serif"/>
          <w:bCs/>
          <w:color w:val="333300"/>
          <w:sz w:val="28"/>
          <w:szCs w:val="28"/>
        </w:rPr>
        <w:t xml:space="preserve"> </w:t>
      </w:r>
      <w:r w:rsidRPr="004D5D59">
        <w:rPr>
          <w:rFonts w:ascii="Liberation Serif" w:hAnsi="Liberation Serif" w:cs="Liberation Serif"/>
          <w:bCs/>
          <w:sz w:val="28"/>
          <w:szCs w:val="28"/>
        </w:rPr>
        <w:t>организации исполнения социально-правовых и</w:t>
      </w:r>
      <w:r>
        <w:rPr>
          <w:rFonts w:ascii="Liberation Serif" w:hAnsi="Liberation Serif" w:cs="Liberation Serif"/>
          <w:bCs/>
          <w:sz w:val="28"/>
          <w:szCs w:val="28"/>
        </w:rPr>
        <w:t> </w:t>
      </w:r>
      <w:r w:rsidRPr="004D5D59">
        <w:rPr>
          <w:rFonts w:ascii="Liberation Serif" w:hAnsi="Liberation Serif" w:cs="Liberation Serif"/>
          <w:bCs/>
          <w:sz w:val="28"/>
          <w:szCs w:val="28"/>
        </w:rPr>
        <w:t xml:space="preserve">тематических запросов </w:t>
      </w:r>
      <w:r w:rsidRPr="004D5D59">
        <w:rPr>
          <w:rFonts w:ascii="Liberation Serif" w:hAnsi="Liberation Serif" w:cs="Liberation Serif"/>
          <w:sz w:val="28"/>
          <w:szCs w:val="28"/>
        </w:rPr>
        <w:t>предоставляются</w:t>
      </w:r>
      <w:r w:rsidRPr="004D5D59">
        <w:rPr>
          <w:rFonts w:ascii="Liberation Serif" w:hAnsi="Liberation Serif" w:cs="Liberation Serif"/>
          <w:bCs/>
          <w:sz w:val="28"/>
          <w:szCs w:val="28"/>
        </w:rPr>
        <w:t xml:space="preserve"> согласно Административным регламентам.</w:t>
      </w:r>
    </w:p>
    <w:p w:rsidR="00E61083" w:rsidRPr="004D5D59" w:rsidRDefault="00E61083" w:rsidP="00E61083">
      <w:pPr>
        <w:tabs>
          <w:tab w:val="left" w:pos="7660"/>
        </w:tabs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E61083" w:rsidRDefault="00E61083" w:rsidP="00E61083">
      <w:pPr>
        <w:tabs>
          <w:tab w:val="left" w:pos="7660"/>
        </w:tabs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D5D59">
        <w:rPr>
          <w:rFonts w:ascii="Liberation Serif" w:hAnsi="Liberation Serif" w:cs="Liberation Serif"/>
          <w:bCs/>
          <w:sz w:val="28"/>
          <w:szCs w:val="28"/>
        </w:rPr>
        <w:tab/>
      </w:r>
      <w:r w:rsidRPr="004D5D59">
        <w:rPr>
          <w:rFonts w:ascii="Liberation Serif" w:hAnsi="Liberation Serif" w:cs="Liberation Serif"/>
          <w:bCs/>
          <w:sz w:val="28"/>
          <w:szCs w:val="28"/>
        </w:rPr>
        <w:tab/>
        <w:t xml:space="preserve">      </w:t>
      </w:r>
      <w:r w:rsidR="0014154B">
        <w:rPr>
          <w:rFonts w:ascii="Liberation Serif" w:hAnsi="Liberation Serif" w:cs="Liberation Serif"/>
          <w:bCs/>
          <w:sz w:val="28"/>
          <w:szCs w:val="28"/>
        </w:rPr>
        <w:t xml:space="preserve">        </w:t>
      </w:r>
      <w:r w:rsidRPr="004D5D59">
        <w:rPr>
          <w:rFonts w:ascii="Liberation Serif" w:hAnsi="Liberation Serif" w:cs="Liberation Serif"/>
          <w:bCs/>
          <w:sz w:val="28"/>
          <w:szCs w:val="28"/>
        </w:rPr>
        <w:t>Таблица</w:t>
      </w:r>
    </w:p>
    <w:p w:rsidR="00E61083" w:rsidRPr="004D5D59" w:rsidRDefault="00E61083" w:rsidP="00E61083">
      <w:pPr>
        <w:tabs>
          <w:tab w:val="left" w:pos="7660"/>
        </w:tabs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E61083" w:rsidRPr="004D5D59" w:rsidRDefault="00E61083" w:rsidP="00E61083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 xml:space="preserve">Информация об исполнении запросов, поступивших в </w:t>
      </w:r>
    </w:p>
    <w:p w:rsidR="00E61083" w:rsidRPr="004D5D59" w:rsidRDefault="00E61083" w:rsidP="00E61083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МКУ «Муниципальный архив Арамильского городского округа»</w:t>
      </w:r>
    </w:p>
    <w:p w:rsidR="00E61083" w:rsidRPr="004D5D59" w:rsidRDefault="00E61083" w:rsidP="00E61083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8"/>
        <w:gridCol w:w="1977"/>
        <w:gridCol w:w="1693"/>
        <w:gridCol w:w="1693"/>
      </w:tblGrid>
      <w:tr w:rsidR="00E61083" w:rsidRPr="004D5D59" w:rsidTr="005771FA">
        <w:tc>
          <w:tcPr>
            <w:tcW w:w="4644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5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2022 год</w:t>
            </w:r>
          </w:p>
        </w:tc>
      </w:tr>
      <w:tr w:rsidR="00E61083" w:rsidRPr="004D5D59" w:rsidTr="005771FA">
        <w:tc>
          <w:tcPr>
            <w:tcW w:w="4644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Исполнение социально-правовых запросов граждан</w:t>
            </w:r>
          </w:p>
        </w:tc>
        <w:tc>
          <w:tcPr>
            <w:tcW w:w="1985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запрос</w:t>
            </w: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181</w:t>
            </w: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195</w:t>
            </w:r>
          </w:p>
        </w:tc>
      </w:tr>
      <w:tr w:rsidR="00E61083" w:rsidRPr="004D5D59" w:rsidTr="005771FA">
        <w:tc>
          <w:tcPr>
            <w:tcW w:w="4644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Исполнение тематических запросов</w:t>
            </w:r>
          </w:p>
        </w:tc>
        <w:tc>
          <w:tcPr>
            <w:tcW w:w="1985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запрос</w:t>
            </w: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97</w:t>
            </w: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105</w:t>
            </w:r>
          </w:p>
        </w:tc>
      </w:tr>
      <w:tr w:rsidR="00E61083" w:rsidRPr="004D5D59" w:rsidTr="005771FA">
        <w:tc>
          <w:tcPr>
            <w:tcW w:w="4644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278</w:t>
            </w:r>
          </w:p>
        </w:tc>
        <w:tc>
          <w:tcPr>
            <w:tcW w:w="1701" w:type="dxa"/>
            <w:shd w:val="clear" w:color="auto" w:fill="auto"/>
          </w:tcPr>
          <w:p w:rsidR="00E61083" w:rsidRPr="00553F4C" w:rsidRDefault="00E61083" w:rsidP="005771FA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553F4C">
              <w:rPr>
                <w:rFonts w:ascii="Liberation Serif" w:hAnsi="Liberation Serif" w:cs="Liberation Serif"/>
                <w:sz w:val="24"/>
                <w:szCs w:val="24"/>
              </w:rPr>
              <w:t>300</w:t>
            </w:r>
          </w:p>
        </w:tc>
      </w:tr>
    </w:tbl>
    <w:p w:rsidR="00E61083" w:rsidRPr="004D5D59" w:rsidRDefault="00E61083" w:rsidP="00E61083">
      <w:pPr>
        <w:tabs>
          <w:tab w:val="left" w:pos="7660"/>
        </w:tabs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Основная цель данной подпрограммы - развитие информационного потенциала </w:t>
      </w:r>
      <w:r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рхивного фонда Свердловской области на территории Арамильского городского округа и </w:t>
      </w:r>
      <w:r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рхивного фонда городского округа</w:t>
      </w:r>
      <w:r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Задачи данной </w:t>
      </w:r>
      <w:r>
        <w:rPr>
          <w:rFonts w:ascii="Liberation Serif" w:hAnsi="Liberation Serif" w:cs="Liberation Serif"/>
          <w:color w:val="000000"/>
          <w:sz w:val="28"/>
          <w:szCs w:val="28"/>
        </w:rPr>
        <w:t>под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программы: 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D5D59">
        <w:rPr>
          <w:rFonts w:ascii="Liberation Serif" w:hAnsi="Liberation Serif" w:cs="Liberation Serif"/>
          <w:color w:val="000000"/>
          <w:sz w:val="28"/>
          <w:szCs w:val="28"/>
        </w:rPr>
        <w:t>1. Удовлетворение потребностей пользователей в необходимой архивной информации;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D5D59">
        <w:rPr>
          <w:rFonts w:ascii="Liberation Serif" w:hAnsi="Liberation Serif" w:cs="Liberation Serif"/>
          <w:sz w:val="28"/>
          <w:szCs w:val="28"/>
        </w:rPr>
        <w:t>2. Сохранение и повышение безопасности хранения архивных документов как части историко-культурного достояния и информационных ресурсов городского округа;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D5D59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3. Осуществление государственных полномочий по хранению, комплектованию, учету и использованию архивных документов, относящихся к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государственной собственности Свердловской области, хранящихся в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муниципальном архиве;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D5D59">
        <w:rPr>
          <w:rFonts w:ascii="Liberation Serif" w:hAnsi="Liberation Serif" w:cs="Liberation Serif"/>
          <w:color w:val="000000"/>
          <w:sz w:val="28"/>
          <w:szCs w:val="28"/>
        </w:rPr>
        <w:t>4. Организация деятельности МКУ «Муниципальный архив Арамильского городского округа».</w:t>
      </w:r>
    </w:p>
    <w:p w:rsidR="00E61083" w:rsidRPr="004D5D59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D5D59">
        <w:rPr>
          <w:rFonts w:ascii="Liberation Serif" w:hAnsi="Liberation Serif" w:cs="Liberation Serif"/>
          <w:color w:val="000000"/>
          <w:sz w:val="28"/>
          <w:szCs w:val="28"/>
        </w:rPr>
        <w:t>Денежные средства, по данной программе планируется потратить на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организацию деятельности МКУ «Муниципальный архив Арамильского городского округа» и на осуществление государственных полномочий по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хранению, комплектованию, учету и использованию архивных документов, относящихся к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государственной собственности Свердловской области, хранящихся в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муниципальном архиве. </w:t>
      </w:r>
    </w:p>
    <w:p w:rsidR="00E61083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Не значительная динамика увеличения расходов по </w:t>
      </w:r>
      <w:r>
        <w:rPr>
          <w:rFonts w:ascii="Liberation Serif" w:hAnsi="Liberation Serif" w:cs="Liberation Serif"/>
          <w:color w:val="000000"/>
          <w:sz w:val="28"/>
          <w:szCs w:val="28"/>
        </w:rPr>
        <w:t>подпрограмме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 направлена на мероприятия, связанные с организацией деятельности МКУ</w:t>
      </w:r>
      <w:r w:rsidR="00A73B25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«Муниципальный архив Арамильского городского округа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и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осуществлением государственных полномочий по хранению, комплектованию, учету и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использованию архивных документов, относящихся к государственной собственности Свердловской области, хранящихся в муниципальном архиве и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связана с увеличением областных средств на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>осуществление данных государственных полномочий и</w:t>
      </w:r>
      <w:r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4D5D59">
        <w:rPr>
          <w:rFonts w:ascii="Liberation Serif" w:hAnsi="Liberation Serif" w:cs="Liberation Serif"/>
          <w:color w:val="000000"/>
          <w:sz w:val="28"/>
          <w:szCs w:val="28"/>
        </w:rPr>
        <w:t xml:space="preserve">достижением целевого показателя оплаты труда работников муниципальных архивных учреждений. </w:t>
      </w:r>
    </w:p>
    <w:p w:rsidR="00E61083" w:rsidRDefault="00E61083" w:rsidP="00E61083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E61083" w:rsidRPr="00206344" w:rsidRDefault="00E61083" w:rsidP="00E61083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b w:val="0"/>
          <w:sz w:val="28"/>
          <w:szCs w:val="28"/>
        </w:rPr>
      </w:pPr>
      <w:r w:rsidRPr="00206344">
        <w:rPr>
          <w:rFonts w:ascii="Liberation Serif" w:hAnsi="Liberation Serif" w:cs="Liberation Serif"/>
          <w:b w:val="0"/>
          <w:sz w:val="28"/>
          <w:szCs w:val="28"/>
        </w:rPr>
        <w:t>Раздел 2. План мероприятий по выполнению муниципальной программы</w:t>
      </w:r>
    </w:p>
    <w:p w:rsidR="00E61083" w:rsidRPr="0079024D" w:rsidRDefault="00E61083" w:rsidP="00E61083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E61083" w:rsidRPr="0079024D" w:rsidRDefault="00E61083" w:rsidP="00E6108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024D">
        <w:rPr>
          <w:rFonts w:ascii="Liberation Serif" w:hAnsi="Liberation Serif" w:cs="Liberation Serif"/>
          <w:sz w:val="28"/>
          <w:szCs w:val="28"/>
        </w:rPr>
        <w:t xml:space="preserve">Для достижения целей муниципальной программы и выполнения поставленных задач разработан </w:t>
      </w:r>
      <w:hyperlink w:anchor="P1336">
        <w:r w:rsidRPr="0079024D">
          <w:rPr>
            <w:rFonts w:ascii="Liberation Serif" w:hAnsi="Liberation Serif" w:cs="Liberation Serif"/>
            <w:sz w:val="28"/>
            <w:szCs w:val="28"/>
          </w:rPr>
          <w:t>план</w:t>
        </w:r>
      </w:hyperlink>
      <w:r w:rsidRPr="0079024D">
        <w:rPr>
          <w:rFonts w:ascii="Liberation Serif" w:hAnsi="Liberation Serif" w:cs="Liberation Serif"/>
          <w:sz w:val="28"/>
          <w:szCs w:val="28"/>
        </w:rPr>
        <w:t xml:space="preserve"> мероприятий по выполнению муниципальной программы (приложение № </w:t>
      </w:r>
      <w:r>
        <w:rPr>
          <w:rFonts w:ascii="Liberation Serif" w:hAnsi="Liberation Serif" w:cs="Liberation Serif"/>
          <w:sz w:val="28"/>
          <w:szCs w:val="28"/>
        </w:rPr>
        <w:t>1</w:t>
      </w:r>
      <w:r w:rsidRPr="0079024D">
        <w:rPr>
          <w:rFonts w:ascii="Liberation Serif" w:hAnsi="Liberation Serif" w:cs="Liberation Serif"/>
          <w:sz w:val="28"/>
          <w:szCs w:val="28"/>
        </w:rPr>
        <w:t>).</w:t>
      </w:r>
    </w:p>
    <w:p w:rsidR="00E61083" w:rsidRDefault="00E61083" w:rsidP="00E61083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E61083" w:rsidRPr="00206344" w:rsidRDefault="00E61083" w:rsidP="00E61083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b w:val="0"/>
          <w:sz w:val="28"/>
          <w:szCs w:val="28"/>
        </w:rPr>
      </w:pPr>
      <w:r w:rsidRPr="00206344">
        <w:rPr>
          <w:rFonts w:ascii="Liberation Serif" w:hAnsi="Liberation Serif" w:cs="Liberation Serif"/>
          <w:b w:val="0"/>
          <w:sz w:val="28"/>
          <w:szCs w:val="28"/>
        </w:rPr>
        <w:t xml:space="preserve">Раздел </w:t>
      </w:r>
      <w:r>
        <w:rPr>
          <w:rFonts w:ascii="Liberation Serif" w:hAnsi="Liberation Serif" w:cs="Liberation Serif"/>
          <w:b w:val="0"/>
          <w:sz w:val="28"/>
          <w:szCs w:val="28"/>
        </w:rPr>
        <w:t>3</w:t>
      </w:r>
      <w:r w:rsidRPr="00206344">
        <w:rPr>
          <w:rFonts w:ascii="Liberation Serif" w:hAnsi="Liberation Serif" w:cs="Liberation Serif"/>
          <w:b w:val="0"/>
          <w:sz w:val="28"/>
          <w:szCs w:val="28"/>
        </w:rPr>
        <w:t>. Цели и задачи муниципальной программы, целевые показатели реализации муниципальной программы</w:t>
      </w:r>
    </w:p>
    <w:p w:rsidR="00E61083" w:rsidRPr="0079024D" w:rsidRDefault="00E61083" w:rsidP="00E61083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FC69F3" w:rsidRDefault="002B3436" w:rsidP="00A73B25">
      <w:pPr>
        <w:pStyle w:val="ConsPlusNormal"/>
        <w:ind w:firstLine="709"/>
        <w:jc w:val="both"/>
      </w:pPr>
      <w:hyperlink w:anchor="P496">
        <w:r w:rsidR="00E61083" w:rsidRPr="0079024D">
          <w:rPr>
            <w:rFonts w:ascii="Liberation Serif" w:hAnsi="Liberation Serif" w:cs="Liberation Serif"/>
            <w:sz w:val="28"/>
            <w:szCs w:val="28"/>
          </w:rPr>
          <w:t>Цели</w:t>
        </w:r>
      </w:hyperlink>
      <w:r w:rsidR="00E61083" w:rsidRPr="0079024D">
        <w:rPr>
          <w:rFonts w:ascii="Liberation Serif" w:hAnsi="Liberation Serif" w:cs="Liberation Serif"/>
          <w:sz w:val="28"/>
          <w:szCs w:val="28"/>
        </w:rPr>
        <w:t>, задачи и целевые показатели муниципальной программы приведены в</w:t>
      </w:r>
      <w:r w:rsidR="00A73B25">
        <w:rPr>
          <w:rFonts w:ascii="Liberation Serif" w:hAnsi="Liberation Serif" w:cs="Liberation Serif"/>
          <w:sz w:val="28"/>
          <w:szCs w:val="28"/>
        </w:rPr>
        <w:t> </w:t>
      </w:r>
      <w:r w:rsidR="00E61083" w:rsidRPr="0079024D">
        <w:rPr>
          <w:rFonts w:ascii="Liberation Serif" w:hAnsi="Liberation Serif" w:cs="Liberation Serif"/>
          <w:sz w:val="28"/>
          <w:szCs w:val="28"/>
        </w:rPr>
        <w:t xml:space="preserve">приложении № </w:t>
      </w:r>
      <w:r w:rsidR="00E61083">
        <w:rPr>
          <w:rFonts w:ascii="Liberation Serif" w:hAnsi="Liberation Serif" w:cs="Liberation Serif"/>
          <w:sz w:val="28"/>
          <w:szCs w:val="28"/>
        </w:rPr>
        <w:t>2</w:t>
      </w:r>
      <w:r w:rsidR="00E61083" w:rsidRPr="0079024D">
        <w:rPr>
          <w:rFonts w:ascii="Liberation Serif" w:hAnsi="Liberation Serif" w:cs="Liberation Serif"/>
          <w:sz w:val="28"/>
          <w:szCs w:val="28"/>
        </w:rPr>
        <w:t>.</w:t>
      </w:r>
    </w:p>
    <w:p w:rsidR="00FC69F3" w:rsidRPr="00FC69F3" w:rsidRDefault="00FC69F3" w:rsidP="00FC69F3">
      <w:pPr>
        <w:tabs>
          <w:tab w:val="left" w:pos="915"/>
        </w:tabs>
      </w:pPr>
    </w:p>
    <w:sectPr w:rsidR="00FC69F3" w:rsidRPr="00FC69F3" w:rsidSect="00A73B25">
      <w:headerReference w:type="default" r:id="rId8"/>
      <w:footerReference w:type="default" r:id="rId9"/>
      <w:pgSz w:w="12240" w:h="15840"/>
      <w:pgMar w:top="1134" w:right="851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436" w:rsidRDefault="002B3436">
      <w:r>
        <w:separator/>
      </w:r>
    </w:p>
  </w:endnote>
  <w:endnote w:type="continuationSeparator" w:id="0">
    <w:p w:rsidR="002B3436" w:rsidRDefault="002B3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810" w:rsidRDefault="00667810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436" w:rsidRDefault="002B3436">
      <w:r>
        <w:separator/>
      </w:r>
    </w:p>
  </w:footnote>
  <w:footnote w:type="continuationSeparator" w:id="0">
    <w:p w:rsidR="002B3436" w:rsidRDefault="002B3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810" w:rsidRDefault="00667810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10"/>
    <w:rsid w:val="000F448C"/>
    <w:rsid w:val="0014154B"/>
    <w:rsid w:val="002417D0"/>
    <w:rsid w:val="00290811"/>
    <w:rsid w:val="002A1D02"/>
    <w:rsid w:val="002B3436"/>
    <w:rsid w:val="002B73B7"/>
    <w:rsid w:val="00437FE9"/>
    <w:rsid w:val="004E0DA5"/>
    <w:rsid w:val="00667810"/>
    <w:rsid w:val="007B69FC"/>
    <w:rsid w:val="00864102"/>
    <w:rsid w:val="009551AD"/>
    <w:rsid w:val="009C7664"/>
    <w:rsid w:val="00A30D21"/>
    <w:rsid w:val="00A73258"/>
    <w:rsid w:val="00A73B25"/>
    <w:rsid w:val="00E61083"/>
    <w:rsid w:val="00FC69F3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9F4B9-B999-40CF-B89F-052B57D9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3"/>
    <w:basedOn w:val="a"/>
    <w:link w:val="30"/>
    <w:rsid w:val="00FC69F3"/>
    <w:pPr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3 Знак"/>
    <w:basedOn w:val="a0"/>
    <w:link w:val="3"/>
    <w:rsid w:val="00FC69F3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E610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E610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</w:rPr>
  </w:style>
  <w:style w:type="paragraph" w:styleId="a5">
    <w:name w:val="Normal (Web)"/>
    <w:basedOn w:val="a"/>
    <w:unhideWhenUsed/>
    <w:rsid w:val="00E6108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ramilgo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B24D-AC26-4D97-B671-6CFF7A8E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7406</Words>
  <Characters>42217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 Кристина Сергеевна</cp:lastModifiedBy>
  <cp:revision>2</cp:revision>
  <dcterms:created xsi:type="dcterms:W3CDTF">2024-01-12T08:39:00Z</dcterms:created>
  <dcterms:modified xsi:type="dcterms:W3CDTF">2024-01-12T08:39:00Z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