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008C" w14:textId="6DA8A269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 w:rsidR="001516B7"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30061F53" w:rsidR="005379CC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75EC70F7" w14:textId="0AB6AE51" w:rsidR="004609BC" w:rsidRDefault="004609B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</w:p>
    <w:p w14:paraId="6AB0245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Приложение № 2</w:t>
      </w:r>
    </w:p>
    <w:p w14:paraId="026F836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 к муниципальной программе</w:t>
      </w:r>
    </w:p>
    <w:p w14:paraId="0B113082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2D7EAB25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6F787296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1D4A1333" w14:textId="0F3242D9" w:rsid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городского округа до 2028 года»</w:t>
      </w:r>
    </w:p>
    <w:p w14:paraId="163B2E6A" w14:textId="77777777" w:rsidR="004609BC" w:rsidRPr="00A90B9F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276"/>
        <w:gridCol w:w="1418"/>
        <w:gridCol w:w="1275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1516B7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C1379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5F6B24" w:rsidRPr="00A90B9F" w14:paraId="5C56F7FC" w14:textId="77777777" w:rsidTr="001516B7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5F6B24" w:rsidRPr="00A90B9F" w:rsidRDefault="005F6B24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 xml:space="preserve">ПРОГРАММЕ, </w:t>
            </w:r>
          </w:p>
          <w:p w14:paraId="1B5119D7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2D61D13E" w:rsidR="005F6B24" w:rsidRPr="00C1379A" w:rsidRDefault="001516B7" w:rsidP="005F6B24">
            <w:r>
              <w:rPr>
                <w:rFonts w:ascii="Liberation Serif" w:hAnsi="Liberation Serif" w:cs="Liberation Serif"/>
                <w:szCs w:val="28"/>
              </w:rPr>
              <w:lastRenderedPageBreak/>
              <w:t>213 781,9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21207345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0084592F" w:rsidR="005F6B24" w:rsidRPr="00C1379A" w:rsidRDefault="001516B7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60 696,0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0FB3EF3A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1EC21907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0B6DD778" w:rsidR="005F6B24" w:rsidRPr="00C1379A" w:rsidRDefault="00C1379A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75D5187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070D" w14:textId="23C04033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760" w14:textId="247F189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EB" w14:textId="7D7A80F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48D" w14:textId="4ADA5640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59D" w14:textId="79E43E8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38E" w14:textId="151B194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186" w14:textId="7E5821F4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F2" w14:textId="5AB42F29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4E8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C309C65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17A" w14:textId="216BAAAA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94F" w14:textId="3C6D8B0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C70" w14:textId="561569F1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4E8" w14:textId="163A5BC0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62B" w14:textId="4954B6F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9F3" w14:textId="1828830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04E" w14:textId="153AFD9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F928" w14:textId="343B3044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115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F6B24" w:rsidRPr="00A90B9F" w14:paraId="28CCF59B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3A7EEFD5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3C8D558C" w:rsidR="005F6B24" w:rsidRPr="00C1379A" w:rsidRDefault="001516B7" w:rsidP="005F6B24">
            <w:r>
              <w:rPr>
                <w:rFonts w:ascii="Liberation Serif" w:hAnsi="Liberation Serif" w:cs="Liberation Serif"/>
                <w:szCs w:val="28"/>
              </w:rPr>
              <w:t>213 091,7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020512D8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31483787" w:rsidR="005F6B24" w:rsidRPr="00C1379A" w:rsidRDefault="001516B7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60 696,0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4E631357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540B1642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5F40E1EF" w:rsidR="005F6B24" w:rsidRPr="00C1379A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F6B24" w:rsidRPr="00A90B9F" w14:paraId="2FF1996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32C3A16F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78BC8759" w:rsidR="005F6B24" w:rsidRPr="00C1379A" w:rsidRDefault="001516B7" w:rsidP="005F6B24">
            <w:r>
              <w:rPr>
                <w:rFonts w:ascii="Liberation Serif" w:hAnsi="Liberation Serif" w:cs="Liberation Serif"/>
                <w:szCs w:val="28"/>
              </w:rPr>
              <w:t>213 781,9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646FE93C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1208E8E7" w:rsidR="005F6B24" w:rsidRPr="00C1379A" w:rsidRDefault="001516B7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60 696,0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33AC88E1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6E917CD4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6CFF4877" w:rsidR="005F6B24" w:rsidRPr="00C1379A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6E0EC3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030" w14:textId="1614FE1D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697" w14:textId="0DC675CE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1804" w14:textId="11A211F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05A" w14:textId="1197F811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0CC" w14:textId="0E1454A8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5BA" w14:textId="3D007883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EE8A" w14:textId="561C1E5E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FED" w14:textId="0FC5E1C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EFE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301B880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074" w14:textId="3E654965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C19" w14:textId="35726847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945" w14:textId="07C8E26D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321" w14:textId="42E5823E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484" w14:textId="20B4E22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64" w14:textId="5655F014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835" w14:textId="39E8024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303" w14:textId="14AC8E4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CA60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1663119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4EBD7DA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45274B42" w:rsidR="00F07F31" w:rsidRPr="002576EC" w:rsidRDefault="001516B7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213 091,7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13EBCA9B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6F920F7C" w:rsidR="00F07F31" w:rsidRPr="002576EC" w:rsidRDefault="001516B7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60 696,0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1BBA3BFC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161538B1" w:rsidR="00F07F31" w:rsidRPr="00C53FA1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C53FA1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568996CD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64AAB8B6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4B9728C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1745A590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5BC1D6DC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1C28ADCB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3F90B102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Составление и представление реестра источников доходов местного бюджета в составе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2E0045E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4C6B5A85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3BE59C83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2411EBEC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 xml:space="preserve">Реализация Плана мероприятий по повышению доходного потенциала Арамильского городского округа, включающего работу межведомственных органов, </w:t>
            </w: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8A434F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5BECDF20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по взысканию 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F85294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3EF5D4A2" w14:textId="328D65EE" w:rsidR="00F07F31" w:rsidRPr="008A1D43" w:rsidRDefault="00F07F31" w:rsidP="008A209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1DA3AB2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1516B7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44A81723" w:rsidR="00DD499E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487F342C" w:rsidR="00DD499E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8542E25" w:rsidR="00DD499E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223EF7F3" w:rsidR="00E97512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3F6DDC9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1516B7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0E50E75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B3659F3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126CAEAF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4508FCF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220710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241B719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неучастников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06027B36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5ABDEE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5355D45F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4305CE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1516B7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6EA31908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4C0206C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AEBD2CB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2576EC" w:rsidRPr="00A90B9F" w14:paraId="27A89F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6079689A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4AEDC560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5AADE4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0EAEB4F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348CE82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02DB7181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4404DA8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15F177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4A465AB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4275ECC0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67AA3EC" w:rsidR="007D5862" w:rsidRPr="005F6B24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21D66A8D" w:rsidR="007D5862" w:rsidRPr="005F6B24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0A025E90" w:rsidR="007D5862" w:rsidRPr="005F6B24" w:rsidRDefault="002576E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1602F5D4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61E5148D" w:rsidR="007D5862" w:rsidRPr="005F6B24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32FA8B1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6DF7F6B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4CE7C02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00BAB57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7BDD8C6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4B2D36A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5A9402A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2709AA9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42EFD9D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51FCEF5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2576EC" w:rsidRPr="00A90B9F" w:rsidRDefault="002576EC" w:rsidP="002576E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026E808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6C9B996A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0A21A09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4921F68D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0C1693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2CCF4FA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20E4323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AA8C5B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2BC10472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2576EC" w:rsidRPr="00A90B9F" w14:paraId="44AE485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39F3E8B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2576EC" w:rsidRPr="00A90B9F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2576EC" w:rsidRPr="00A90B9F" w:rsidRDefault="002576EC" w:rsidP="002576E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54AB2F5E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6084F61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6531B1B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3CCE799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40C6CB78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1BC6D05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028C" w14:textId="77777777" w:rsid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2576EC" w:rsidRPr="00D20DD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2576EC" w:rsidRPr="00A90B9F" w14:paraId="1502474C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520" w14:textId="73259DEE" w:rsidR="002576EC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C62" w14:textId="35EE1E94" w:rsidR="002576EC" w:rsidRPr="008A209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AAF" w14:textId="019F9DF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AC" w14:textId="2B30E5A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3F2" w14:textId="09A5276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01" w14:textId="4F738F5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9AC8" w14:textId="1A7AABE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12" w14:textId="231B41E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B19" w14:textId="77777777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5F738A9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05CC0F25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0D7A1D16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308ACFD4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обязательств Арамильского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E9D2EBA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659B3BE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1516B7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4F743FE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2C2C4F7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09AD062A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A50" w14:textId="141C0DB0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680BE88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247BEBF9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плановых проверок соблюдения законодательства 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452660C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546EC7A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073517E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66BF6CA3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санкционирования оплаты денежных обязательств получателей средств местного бюджета и денежных обязательств,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14C0CF87" w:rsidR="00D20DD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7D5862" w:rsidRPr="00A90B9F" w14:paraId="7BB4AD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6DB7E77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6BA063A9" w:rsidR="007D5862" w:rsidRPr="00C53FA1" w:rsidRDefault="001516B7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213 715,9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04CCFB85" w:rsidR="007D5862" w:rsidRPr="00C53FA1" w:rsidRDefault="00C53FA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16BAF2A4" w:rsidR="007D5862" w:rsidRPr="00C53FA1" w:rsidRDefault="001516B7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60 679,0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0E159D3D" w:rsidR="007D5862" w:rsidRPr="00C53FA1" w:rsidRDefault="00C53FA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63B5A69A" w:rsidR="007D5862" w:rsidRPr="00C53FA1" w:rsidRDefault="00C53FA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19B48B1C" w:rsidR="007D5862" w:rsidRPr="00C53FA1" w:rsidRDefault="00C53FA1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67868658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CB3" w14:textId="45556AC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B830" w14:textId="1E884890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D856" w14:textId="6D547F3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3F59" w14:textId="5DA18F6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696" w14:textId="1A07A9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661" w14:textId="330FC451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8CA" w14:textId="7EEB269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979" w14:textId="1E35A1BE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380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FEE317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7D6" w14:textId="5F117DB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1A3" w14:textId="0A8AB2CB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C56" w14:textId="75989498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C14" w14:textId="2D43B9C5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722" w14:textId="2CC5643F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AFE" w14:textId="2BA381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91F" w14:textId="3ABD48E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9A" w14:textId="0AA2A8E7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DB3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035556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3FB6216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7D5862" w:rsidRPr="00A90B9F" w:rsidRDefault="007D5862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2292382A" w:rsidR="007D5862" w:rsidRPr="00C53FA1" w:rsidRDefault="001516B7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213 025,7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04680180" w:rsidR="007D5862" w:rsidRPr="00C53FA1" w:rsidRDefault="00E3466A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50F2CDCC" w:rsidR="007D5862" w:rsidRPr="00C53FA1" w:rsidRDefault="001516B7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60 679,0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671D193A" w:rsidR="007D5862" w:rsidRPr="00C53FA1" w:rsidRDefault="00E3466A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703CACED" w:rsidR="007D5862" w:rsidRPr="00C53FA1" w:rsidRDefault="00E3466A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418CA497" w:rsidR="007D5862" w:rsidRPr="00C53FA1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5CEE6C5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559B4850" w:rsidR="0082271A" w:rsidRPr="00A90B9F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82271A" w:rsidRPr="00A90B9F" w:rsidRDefault="0082271A" w:rsidP="0082271A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направлению «Прочие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6A7CC83B" w:rsidR="0082271A" w:rsidRPr="00C53FA1" w:rsidRDefault="001516B7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213 715,9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A2E16FA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49630FD2" w:rsidR="0082271A" w:rsidRPr="00C53FA1" w:rsidRDefault="001516B7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60 679,0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018CE001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438D07DB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39B2A31D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72D2106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820" w14:textId="34E782C8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40" w14:textId="60E11353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4FB" w14:textId="35AF3CE8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E20" w14:textId="1EC05D63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606" w14:textId="54CB4EEB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C86" w14:textId="169F70CE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A13" w14:textId="7DB743BB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19FC" w14:textId="7AAE6646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5A4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2271A" w:rsidRPr="00A90B9F" w14:paraId="4714FBB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F70" w14:textId="4748B96E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795" w14:textId="0F9689B0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E8D" w14:textId="24079AC0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E98" w14:textId="52FF0C51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FFA" w14:textId="0840CA63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CBC" w14:textId="38A0EC91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3" w14:textId="10A03DC9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F05" w14:textId="6E6F09F4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7EE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398FE4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2AF4794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10370BBD" w:rsidR="007D5862" w:rsidRPr="002576EC" w:rsidRDefault="001516B7" w:rsidP="009E5689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213 025,7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3D7DA644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090991A5" w:rsidR="007D5862" w:rsidRPr="00E3466A" w:rsidRDefault="001516B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60 679,0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7304E614" w:rsidR="007D5862" w:rsidRPr="00E3466A" w:rsidRDefault="00E3466A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1B776996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630222DB" w:rsidR="007D5862" w:rsidRPr="00E3466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12568F" w:rsidRPr="00A90B9F" w14:paraId="0978D329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7C0E4DE" w:rsidR="0012568F" w:rsidRPr="00B3690A" w:rsidRDefault="0012568F" w:rsidP="0012568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12568F" w:rsidRPr="00B3690A" w:rsidRDefault="0012568F" w:rsidP="0012568F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73FBB215" w:rsidR="0012568F" w:rsidRPr="001516B7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109</w:t>
            </w:r>
            <w:r w:rsidR="001516B7" w:rsidRPr="001516B7">
              <w:rPr>
                <w:rFonts w:ascii="Liberation Serif" w:hAnsi="Liberation Serif" w:cs="Liberation Serif"/>
                <w:szCs w:val="28"/>
                <w:highlight w:val="yellow"/>
              </w:rPr>
              <w:t> 687,1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1FB8F152" w:rsidR="0012568F" w:rsidRPr="001516B7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18 954,6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16481668" w:rsidR="0012568F" w:rsidRPr="001516B7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23 636,0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2D1E8DC1" w:rsidR="0012568F" w:rsidRPr="001516B7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57DD48E7" w:rsidR="0012568F" w:rsidRPr="001516B7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1A4DE345" w:rsidR="0012568F" w:rsidRPr="001516B7" w:rsidRDefault="0012568F" w:rsidP="0012568F">
            <w:pPr>
              <w:pStyle w:val="ConsPlusCell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20 616,0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E92E8" w14:textId="77777777" w:rsidR="0012568F" w:rsidRPr="00B3690A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12568F" w:rsidRPr="00B3690A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59C07F4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8BB" w14:textId="4EAB309D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C45" w14:textId="0E09074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0D7" w14:textId="691AA97C" w:rsidR="008A209C" w:rsidRPr="001516B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109</w:t>
            </w:r>
            <w:r w:rsidR="001516B7" w:rsidRPr="001516B7">
              <w:rPr>
                <w:rFonts w:ascii="Liberation Serif" w:hAnsi="Liberation Serif" w:cs="Liberation Serif"/>
                <w:szCs w:val="28"/>
                <w:highlight w:val="yellow"/>
              </w:rPr>
              <w:t> 047,1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6C6" w14:textId="04A1FA5A" w:rsidR="008A209C" w:rsidRPr="001516B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18 314,6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3EA3" w14:textId="395D8BE2" w:rsidR="008A209C" w:rsidRPr="001516B7" w:rsidRDefault="001516B7" w:rsidP="009E5689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23628,0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B7C" w14:textId="19A26E5E" w:rsidR="008A209C" w:rsidRPr="001516B7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DB3" w14:textId="68953BA8" w:rsidR="008A209C" w:rsidRPr="001516B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3D9" w14:textId="71F2EC06" w:rsidR="008A209C" w:rsidRPr="001516B7" w:rsidRDefault="008A209C" w:rsidP="000A55DC">
            <w:pPr>
              <w:pStyle w:val="ConsPlusCell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20 616,0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D208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2D665A4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494" w14:textId="580A4A2E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78" w14:textId="175B7B0E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1FB" w14:textId="61E84D3A" w:rsidR="008A209C" w:rsidRPr="001516B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29A" w14:textId="773D216F" w:rsidR="008A209C" w:rsidRPr="001516B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E4E" w14:textId="68DF81FF" w:rsidR="008A209C" w:rsidRPr="001516B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F7A9" w14:textId="712C3D7C" w:rsidR="008A209C" w:rsidRPr="001516B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C05" w14:textId="228B8921" w:rsidR="008A209C" w:rsidRPr="001516B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554" w14:textId="185ACE5B" w:rsidR="008A209C" w:rsidRPr="001516B7" w:rsidRDefault="008A209C" w:rsidP="000A55DC">
            <w:pPr>
              <w:pStyle w:val="ConsPlusCell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31D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42CB9DB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4E77500C" w:rsidR="008A209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8A209C" w:rsidRPr="00A90B9F" w:rsidRDefault="008A209C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8A209C" w:rsidRPr="00A90B9F" w:rsidRDefault="008A209C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48E235D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38 361,5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256196A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6 583,2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05883084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429848E0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51A89D0F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8A209C" w:rsidRPr="0012568F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7 447,0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F8FD6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8A209C" w:rsidRPr="00A90B9F" w14:paraId="40BFDE4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75E" w14:textId="01606AD2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87" w14:textId="6FA02FC5" w:rsidR="008A209C" w:rsidRPr="008A209C" w:rsidRDefault="008A209C" w:rsidP="008A209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CCB" w14:textId="5F279B91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38 311,3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1BE" w14:textId="6B399972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6 533,0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20" w14:textId="11A7DB7D" w:rsidR="008A209C" w:rsidRPr="00E3466A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1E" w14:textId="25D63B17" w:rsidR="008A209C" w:rsidRPr="00E3466A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D5A" w14:textId="1A287A4C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856" w14:textId="7B07AF29" w:rsidR="008A209C" w:rsidRPr="0012568F" w:rsidRDefault="008A209C" w:rsidP="008A209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t>7 447,0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091A3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4A9A21B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BAE" w14:textId="5F53E37B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40" w14:textId="3C2AEE1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69F" w14:textId="68E519AC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6C4" w14:textId="580247A6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158" w14:textId="716D907B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C7F" w14:textId="3FD0A922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3F9" w14:textId="259A389B" w:rsidR="008A209C" w:rsidRPr="0012568F" w:rsidRDefault="008A209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726" w14:textId="0DEA05E9" w:rsidR="008A209C" w:rsidRPr="0012568F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F6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B6052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1D8645D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12568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12568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12568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8A209C" w:rsidRPr="00A90B9F" w14:paraId="38E2779E" w14:textId="77777777" w:rsidTr="001516B7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FF74334" w:rsidR="008A209C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027114DA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17 983,8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14D83433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5C5C4B47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28884357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1C56260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8A209C" w:rsidRPr="0012568F" w:rsidRDefault="008A209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8F5C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8A209C" w:rsidRPr="00A90B9F" w14:paraId="3342AEC6" w14:textId="77777777" w:rsidTr="001516B7">
        <w:trPr>
          <w:gridAfter w:val="1"/>
          <w:wAfter w:w="170" w:type="dxa"/>
          <w:trHeight w:val="38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87" w14:textId="0C886B61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51E6" w14:textId="08945CF1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A4" w14:textId="2A319915" w:rsidR="008A209C" w:rsidRPr="0012568F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17 983,8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E2F" w14:textId="7B0F8E0D" w:rsidR="008A209C" w:rsidRPr="0012568F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776" w14:textId="62B79527" w:rsidR="008A209C" w:rsidRPr="0012568F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367" w14:textId="2D6C9EA5" w:rsidR="008A209C" w:rsidRPr="0012568F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8F1" w14:textId="1380DEB6" w:rsidR="008A209C" w:rsidRPr="0012568F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FF93" w14:textId="7D63E087" w:rsidR="008A209C" w:rsidRPr="0012568F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11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6DCFB57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63F5D74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0249D849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 учетной политики и единой методологии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2576EC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2576EC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2576EC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2E962946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51BA2950" w14:textId="77777777" w:rsidR="00020455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6.1.3.</w:t>
            </w:r>
          </w:p>
        </w:tc>
      </w:tr>
      <w:tr w:rsidR="002576EC" w:rsidRPr="00A90B9F" w14:paraId="03C2C07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6FC6B07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2576E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2576EC" w:rsidRPr="0036609E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2A361D3F" w:rsidR="002576EC" w:rsidRPr="001516B7" w:rsidRDefault="001516B7" w:rsidP="002576E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47 683,5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0C969513" w:rsidR="002576EC" w:rsidRPr="001516B7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71F76DB3" w:rsidR="002576EC" w:rsidRPr="001516B7" w:rsidRDefault="001516B7" w:rsidP="002576E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25 119,9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94E29C1" w:rsidR="002576EC" w:rsidRPr="001516B7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3B7D8811" w:rsidR="002576EC" w:rsidRPr="001516B7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2576EC" w:rsidRPr="001516B7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DDDCC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  <w:tr w:rsidR="008A209C" w:rsidRPr="00A90B9F" w14:paraId="78FFEA9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DB7" w14:textId="24502C9D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221" w14:textId="4529608E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539" w14:textId="32487434" w:rsidR="008A209C" w:rsidRPr="001516B7" w:rsidRDefault="001516B7" w:rsidP="008A209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47 683,5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180" w14:textId="26903568" w:rsidR="008A209C" w:rsidRPr="001516B7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483" w14:textId="0EBB0C56" w:rsidR="008A209C" w:rsidRPr="001516B7" w:rsidRDefault="001516B7" w:rsidP="008A209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25 119,9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DB4" w14:textId="663998FE" w:rsidR="008A209C" w:rsidRPr="001516B7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C62" w14:textId="02BB05DD" w:rsidR="008A209C" w:rsidRPr="001516B7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szCs w:val="28"/>
                <w:highlight w:val="yellow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C12" w14:textId="45E61D40" w:rsidR="008A209C" w:rsidRPr="001516B7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516B7">
              <w:rPr>
                <w:rFonts w:ascii="Liberation Serif" w:hAnsi="Liberation Serif" w:cs="Liberation Serif"/>
                <w:highlight w:val="yellow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AAA" w14:textId="77777777" w:rsidR="008A209C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F17B25">
      <w:headerReference w:type="default" r:id="rId8"/>
      <w:pgSz w:w="16838" w:h="11906" w:orient="landscape"/>
      <w:pgMar w:top="1418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E7677" w14:textId="77777777" w:rsidR="00A963F1" w:rsidRDefault="00A963F1" w:rsidP="008779F9">
      <w:r>
        <w:separator/>
      </w:r>
    </w:p>
  </w:endnote>
  <w:endnote w:type="continuationSeparator" w:id="0">
    <w:p w14:paraId="6EE405B0" w14:textId="77777777" w:rsidR="00A963F1" w:rsidRDefault="00A963F1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CC37" w14:textId="77777777" w:rsidR="00A963F1" w:rsidRDefault="00A963F1" w:rsidP="008779F9">
      <w:r>
        <w:separator/>
      </w:r>
    </w:p>
  </w:footnote>
  <w:footnote w:type="continuationSeparator" w:id="0">
    <w:p w14:paraId="365B4D66" w14:textId="77777777" w:rsidR="00A963F1" w:rsidRDefault="00A963F1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464A">
          <w:rPr>
            <w:noProof/>
            <w:sz w:val="24"/>
            <w:szCs w:val="24"/>
          </w:rPr>
          <w:t>21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94ADD"/>
    <w:rsid w:val="000A55DC"/>
    <w:rsid w:val="000C1CAA"/>
    <w:rsid w:val="000D21AA"/>
    <w:rsid w:val="000D53E9"/>
    <w:rsid w:val="000E0C3D"/>
    <w:rsid w:val="0012568F"/>
    <w:rsid w:val="00135739"/>
    <w:rsid w:val="001368C8"/>
    <w:rsid w:val="001516B7"/>
    <w:rsid w:val="001620F6"/>
    <w:rsid w:val="001A0850"/>
    <w:rsid w:val="001A0B4C"/>
    <w:rsid w:val="001B4ECA"/>
    <w:rsid w:val="001F3555"/>
    <w:rsid w:val="002030C4"/>
    <w:rsid w:val="00221A34"/>
    <w:rsid w:val="00245477"/>
    <w:rsid w:val="00247E4E"/>
    <w:rsid w:val="002576EC"/>
    <w:rsid w:val="0027096A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0D7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609BC"/>
    <w:rsid w:val="0047725D"/>
    <w:rsid w:val="00486DCF"/>
    <w:rsid w:val="004D0A9B"/>
    <w:rsid w:val="004D4377"/>
    <w:rsid w:val="00502C91"/>
    <w:rsid w:val="00522D18"/>
    <w:rsid w:val="00533DF6"/>
    <w:rsid w:val="005344AE"/>
    <w:rsid w:val="005379CC"/>
    <w:rsid w:val="00540FDC"/>
    <w:rsid w:val="00563221"/>
    <w:rsid w:val="00581DC1"/>
    <w:rsid w:val="005A35E8"/>
    <w:rsid w:val="005C341E"/>
    <w:rsid w:val="005F0289"/>
    <w:rsid w:val="005F6B24"/>
    <w:rsid w:val="006012FA"/>
    <w:rsid w:val="00603675"/>
    <w:rsid w:val="00610268"/>
    <w:rsid w:val="006413FA"/>
    <w:rsid w:val="0066476A"/>
    <w:rsid w:val="0069785E"/>
    <w:rsid w:val="006B68F9"/>
    <w:rsid w:val="006C4688"/>
    <w:rsid w:val="006E405B"/>
    <w:rsid w:val="006F0F06"/>
    <w:rsid w:val="00727ED3"/>
    <w:rsid w:val="00776E2A"/>
    <w:rsid w:val="00795679"/>
    <w:rsid w:val="007A6CC6"/>
    <w:rsid w:val="007C1923"/>
    <w:rsid w:val="007D5862"/>
    <w:rsid w:val="007E134F"/>
    <w:rsid w:val="00810401"/>
    <w:rsid w:val="0082196B"/>
    <w:rsid w:val="0082271A"/>
    <w:rsid w:val="00824F43"/>
    <w:rsid w:val="00870C86"/>
    <w:rsid w:val="008779F9"/>
    <w:rsid w:val="008846D0"/>
    <w:rsid w:val="00891BFB"/>
    <w:rsid w:val="008A1D43"/>
    <w:rsid w:val="008A209C"/>
    <w:rsid w:val="008A433B"/>
    <w:rsid w:val="008C2C27"/>
    <w:rsid w:val="008D1963"/>
    <w:rsid w:val="00922426"/>
    <w:rsid w:val="00940C71"/>
    <w:rsid w:val="009519BF"/>
    <w:rsid w:val="00963B20"/>
    <w:rsid w:val="009767C1"/>
    <w:rsid w:val="009C415A"/>
    <w:rsid w:val="009E5689"/>
    <w:rsid w:val="00A155B0"/>
    <w:rsid w:val="00A20A0F"/>
    <w:rsid w:val="00A6187B"/>
    <w:rsid w:val="00A70939"/>
    <w:rsid w:val="00A74576"/>
    <w:rsid w:val="00A7768D"/>
    <w:rsid w:val="00A90B9F"/>
    <w:rsid w:val="00A95579"/>
    <w:rsid w:val="00A963F1"/>
    <w:rsid w:val="00AA3F55"/>
    <w:rsid w:val="00AE3C8F"/>
    <w:rsid w:val="00B00DEB"/>
    <w:rsid w:val="00B25EF8"/>
    <w:rsid w:val="00B3690A"/>
    <w:rsid w:val="00B55F46"/>
    <w:rsid w:val="00B90B13"/>
    <w:rsid w:val="00B9464A"/>
    <w:rsid w:val="00B97148"/>
    <w:rsid w:val="00BA30DD"/>
    <w:rsid w:val="00BA7026"/>
    <w:rsid w:val="00BA756D"/>
    <w:rsid w:val="00BC734C"/>
    <w:rsid w:val="00C049D5"/>
    <w:rsid w:val="00C1379A"/>
    <w:rsid w:val="00C3533A"/>
    <w:rsid w:val="00C36970"/>
    <w:rsid w:val="00C47B31"/>
    <w:rsid w:val="00C53FA1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3466A"/>
    <w:rsid w:val="00E76697"/>
    <w:rsid w:val="00E97512"/>
    <w:rsid w:val="00EB271C"/>
    <w:rsid w:val="00EB4B7C"/>
    <w:rsid w:val="00ED0004"/>
    <w:rsid w:val="00ED0360"/>
    <w:rsid w:val="00EF0C41"/>
    <w:rsid w:val="00F07F31"/>
    <w:rsid w:val="00F17B25"/>
    <w:rsid w:val="00F25CBF"/>
    <w:rsid w:val="00F278BF"/>
    <w:rsid w:val="00F33B87"/>
    <w:rsid w:val="00F40A37"/>
    <w:rsid w:val="00F42CBD"/>
    <w:rsid w:val="00F63D90"/>
    <w:rsid w:val="00F941A6"/>
    <w:rsid w:val="00F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  <w15:docId w15:val="{176ED60D-FC01-4821-A995-3CEBB71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4FAB-D073-4A00-B1EA-564FB96F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99</cp:revision>
  <cp:lastPrinted>2023-08-06T17:47:00Z</cp:lastPrinted>
  <dcterms:created xsi:type="dcterms:W3CDTF">2019-06-14T10:52:00Z</dcterms:created>
  <dcterms:modified xsi:type="dcterms:W3CDTF">2025-03-16T06:36:00Z</dcterms:modified>
</cp:coreProperties>
</file>