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E6CC">
      <w:pPr>
        <w:pStyle w:val="5"/>
        <w:widowControl/>
        <w:jc w:val="right"/>
        <w:outlineLvl w:val="1"/>
        <w:rPr>
          <w:lang w:val="ru"/>
        </w:rPr>
      </w:pPr>
      <w:r>
        <w:rPr>
          <w:lang w:val="ru"/>
        </w:rPr>
        <w:t>Приложение N 6</w:t>
      </w:r>
    </w:p>
    <w:p w14:paraId="62987C8F">
      <w:pPr>
        <w:pStyle w:val="5"/>
        <w:widowControl/>
        <w:jc w:val="right"/>
        <w:rPr>
          <w:lang w:val="ru"/>
        </w:rPr>
      </w:pPr>
      <w:r>
        <w:rPr>
          <w:lang w:val="ru"/>
        </w:rPr>
        <w:t>к Положению</w:t>
      </w:r>
    </w:p>
    <w:p w14:paraId="02969BE8">
      <w:pPr>
        <w:pStyle w:val="5"/>
        <w:widowControl/>
        <w:jc w:val="right"/>
        <w:rPr>
          <w:lang w:val="ru"/>
        </w:rPr>
      </w:pPr>
      <w:r>
        <w:rPr>
          <w:lang w:val="ru"/>
        </w:rPr>
        <w:t>о муниципальном жилищном контроле</w:t>
      </w:r>
    </w:p>
    <w:p w14:paraId="6AF9D2B1">
      <w:pPr>
        <w:pStyle w:val="5"/>
        <w:widowControl/>
        <w:jc w:val="right"/>
        <w:rPr>
          <w:lang w:val="ru"/>
        </w:rPr>
      </w:pPr>
      <w:r>
        <w:rPr>
          <w:lang w:val="ru"/>
        </w:rPr>
        <w:t>в Арамильском городском округе</w:t>
      </w:r>
    </w:p>
    <w:p w14:paraId="2A531EAE">
      <w:pPr>
        <w:pStyle w:val="5"/>
        <w:widowControl/>
        <w:jc w:val="both"/>
        <w:rPr>
          <w:lang w:val="ru"/>
        </w:rPr>
      </w:pPr>
    </w:p>
    <w:p w14:paraId="56B0635E">
      <w:pPr>
        <w:pStyle w:val="6"/>
        <w:widowControl/>
        <w:jc w:val="center"/>
        <w:rPr>
          <w:lang w:val="ru"/>
        </w:rPr>
      </w:pPr>
      <w:r>
        <w:rPr>
          <w:lang w:val="ru"/>
        </w:rPr>
        <w:t>ИНДИКАТОРЫ</w:t>
      </w:r>
    </w:p>
    <w:p w14:paraId="13AD0779">
      <w:pPr>
        <w:pStyle w:val="6"/>
        <w:widowControl/>
        <w:jc w:val="center"/>
        <w:rPr>
          <w:lang w:val="ru"/>
        </w:rPr>
      </w:pPr>
      <w:r>
        <w:rPr>
          <w:lang w:val="ru"/>
        </w:rPr>
        <w:t>РИСКА НАРУШЕНИЯ ОБЯЗАТЕЛЬНЫХ ТРЕБОВАНИЙ</w:t>
      </w:r>
    </w:p>
    <w:p w14:paraId="4E83E6FA">
      <w:pPr>
        <w:pStyle w:val="5"/>
        <w:widowControl/>
        <w:spacing w:after="0" w:afterAutospacing="0"/>
        <w:rPr>
          <w:lang w:val="ru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00"/>
        <w:gridCol w:w="9438"/>
        <w:gridCol w:w="100"/>
      </w:tblGrid>
      <w:tr w14:paraId="3B5C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vAlign w:val="top"/>
          </w:tcPr>
          <w:p w14:paraId="208DB482">
            <w:pPr>
              <w:pStyle w:val="5"/>
              <w:widowControl/>
              <w:spacing w:line="256" w:lineRule="auto"/>
              <w:rPr>
                <w:bdr w:val="none" w:color="auto" w:sz="0" w:space="0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vAlign w:val="top"/>
          </w:tcPr>
          <w:p w14:paraId="4EB08157">
            <w:pPr>
              <w:pStyle w:val="5"/>
              <w:widowControl/>
              <w:spacing w:line="256" w:lineRule="auto"/>
              <w:rPr>
                <w:bdr w:val="none" w:color="auto" w:sz="0" w:space="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00" w:type="dxa"/>
              <w:bottom w:w="100" w:type="dxa"/>
            </w:tcMar>
            <w:vAlign w:val="top"/>
          </w:tcPr>
          <w:p w14:paraId="0E614A89">
            <w:pPr>
              <w:pStyle w:val="5"/>
              <w:widowControl/>
              <w:spacing w:line="256" w:lineRule="auto"/>
              <w:jc w:val="center"/>
              <w:rPr>
                <w:bdr w:val="none" w:color="auto" w:sz="0" w:space="0"/>
                <w:lang w:eastAsia="en-US"/>
              </w:rPr>
            </w:pPr>
            <w:r>
              <w:rPr>
                <w:color w:val="392C69"/>
                <w:bdr w:val="none" w:color="auto" w:sz="0" w:space="0"/>
                <w:lang w:eastAsia="en-US"/>
              </w:rPr>
              <w:t>Список изменяющих документов</w:t>
            </w:r>
          </w:p>
          <w:p w14:paraId="3BE8B444">
            <w:pPr>
              <w:pStyle w:val="5"/>
              <w:widowControl/>
              <w:spacing w:line="256" w:lineRule="auto"/>
              <w:jc w:val="center"/>
              <w:rPr>
                <w:bdr w:val="none" w:color="auto" w:sz="0" w:space="0"/>
                <w:lang w:eastAsia="en-US"/>
              </w:rPr>
            </w:pPr>
            <w:r>
              <w:rPr>
                <w:color w:val="392C69"/>
                <w:bdr w:val="none" w:color="auto" w:sz="0" w:space="0"/>
                <w:lang w:eastAsia="en-US"/>
              </w:rPr>
              <w:t xml:space="preserve">(в ред. </w:t>
            </w:r>
            <w:r>
              <w:rPr>
                <w:color w:val="auto"/>
                <w:bdr w:val="none" w:color="auto" w:sz="0" w:space="0"/>
                <w:lang w:eastAsia="en-US"/>
              </w:rPr>
              <w:fldChar w:fldCharType="begin"/>
            </w:r>
            <w:r>
              <w:rPr>
                <w:color w:val="auto"/>
                <w:bdr w:val="none" w:color="auto" w:sz="0" w:space="0"/>
                <w:lang w:eastAsia="en-US"/>
              </w:rPr>
              <w:instrText xml:space="preserve"> HYPERLINK "https://login.consultant.ru/link/?req=doc&amp;base=RLAW071&amp;n=368281&amp;dst=100025" </w:instrText>
            </w:r>
            <w:r>
              <w:rPr>
                <w:color w:val="auto"/>
                <w:bdr w:val="none" w:color="auto" w:sz="0" w:space="0"/>
                <w:lang w:eastAsia="en-US"/>
              </w:rPr>
              <w:fldChar w:fldCharType="separate"/>
            </w:r>
            <w:r>
              <w:rPr>
                <w:rStyle w:val="4"/>
                <w:color w:val="auto"/>
                <w:u w:val="none"/>
                <w:bdr w:val="none" w:color="auto" w:sz="0" w:space="0"/>
                <w:lang w:eastAsia="en-US"/>
              </w:rPr>
              <w:t>Решения</w:t>
            </w:r>
            <w:r>
              <w:rPr>
                <w:color w:val="auto"/>
                <w:bdr w:val="none" w:color="auto" w:sz="0" w:space="0"/>
                <w:lang w:eastAsia="en-US"/>
              </w:rPr>
              <w:fldChar w:fldCharType="end"/>
            </w:r>
            <w:r>
              <w:rPr>
                <w:color w:val="392C69"/>
                <w:bdr w:val="none" w:color="auto" w:sz="0" w:space="0"/>
                <w:lang w:eastAsia="en-US"/>
              </w:rPr>
              <w:t xml:space="preserve"> Думы Арамильского городского округа от 14.12.2023 N 37/5)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vAlign w:val="top"/>
          </w:tcPr>
          <w:p w14:paraId="1BD0243E">
            <w:pPr>
              <w:pStyle w:val="5"/>
              <w:widowControl/>
              <w:spacing w:line="256" w:lineRule="auto"/>
              <w:rPr>
                <w:bdr w:val="none" w:color="auto" w:sz="0" w:space="0"/>
                <w:lang w:eastAsia="en-US"/>
              </w:rPr>
            </w:pPr>
          </w:p>
        </w:tc>
      </w:tr>
    </w:tbl>
    <w:p w14:paraId="268A30B8">
      <w:pPr>
        <w:pStyle w:val="5"/>
        <w:widowControl/>
        <w:jc w:val="both"/>
        <w:rPr>
          <w:lang w:val="ru"/>
        </w:rPr>
      </w:pPr>
    </w:p>
    <w:p w14:paraId="72447CB2">
      <w:pPr>
        <w:pStyle w:val="5"/>
        <w:widowControl/>
        <w:ind w:left="0" w:firstLine="540"/>
        <w:jc w:val="both"/>
        <w:rPr>
          <w:lang w:val="ru"/>
        </w:rPr>
      </w:pPr>
      <w:r>
        <w:rPr>
          <w:lang w:val="ru"/>
        </w:rPr>
        <w:t xml:space="preserve">1. Трехкратный и более рост количества обращений в течение полугода в сравнении с предшествующим аналогичным периодом и (или) аналогичным периодом предшествующего календарного года, поступивших в Администрацию Арамильского городского округа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информационной сети Интернет, государственных информационных систем о фактах нарушений обязательных требований, установленных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"https://login.consultant.ru/link/?req=doc&amp;base=LAW&amp;n=493210&amp;dst=1096" </w:instrText>
      </w:r>
      <w:r>
        <w:rPr>
          <w:lang w:val="ru"/>
        </w:rPr>
        <w:fldChar w:fldCharType="separate"/>
      </w:r>
      <w:r>
        <w:rPr>
          <w:rStyle w:val="4"/>
          <w:color w:val="0000FF"/>
          <w:u w:val="none"/>
          <w:lang w:val="ru"/>
        </w:rPr>
        <w:t>частью 1 статьи 20</w:t>
      </w:r>
      <w:r>
        <w:rPr>
          <w:lang w:val="ru"/>
        </w:rPr>
        <w:fldChar w:fldCharType="end"/>
      </w:r>
      <w:r>
        <w:rPr>
          <w:lang w:val="ru"/>
        </w:rPr>
        <w:t xml:space="preserve"> Жилищного кодекса Российской Федерации.</w:t>
      </w:r>
    </w:p>
    <w:p w14:paraId="3DF6E518">
      <w:pPr>
        <w:pStyle w:val="5"/>
        <w:widowControl/>
        <w:spacing w:before="220" w:beforeAutospacing="0"/>
        <w:ind w:left="0" w:firstLine="540"/>
        <w:jc w:val="both"/>
        <w:rPr>
          <w:lang w:val="ru"/>
        </w:rPr>
      </w:pPr>
      <w:r>
        <w:rPr>
          <w:lang w:val="ru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составом, сроками и периодичностью</w:t>
      </w:r>
      <w:bookmarkStart w:id="0" w:name="_GoBack"/>
      <w:bookmarkEnd w:id="0"/>
      <w:r>
        <w:rPr>
          <w:lang w:val="ru"/>
        </w:rPr>
        <w:t xml:space="preserve"> размещения,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14:paraId="5D6AEE7B">
      <w:pPr>
        <w:pStyle w:val="5"/>
        <w:widowControl/>
        <w:jc w:val="both"/>
        <w:rPr>
          <w:lang w:val="ru"/>
        </w:rPr>
      </w:pPr>
    </w:p>
    <w:p w14:paraId="68448611"/>
    <w:sectPr>
      <w:pgSz w:w="12240" w:h="15840"/>
      <w:pgMar w:top="1135" w:right="840" w:bottom="1135" w:left="1702" w:header="720" w:footer="720" w:gutter="0"/>
      <w:paperSrc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AE"/>
    <w:rsid w:val="001B100A"/>
    <w:rsid w:val="00240A7C"/>
    <w:rsid w:val="004E2698"/>
    <w:rsid w:val="008406CC"/>
    <w:rsid w:val="009365AE"/>
    <w:rsid w:val="00DA4A37"/>
    <w:rsid w:val="00EC644C"/>
    <w:rsid w:val="6A4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ConsPlusNormal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Calibri" w:hAnsi="Calibri" w:eastAsia="Times New Roman" w:cs="Calibri"/>
      <w:kern w:val="0"/>
      <w:sz w:val="22"/>
      <w:szCs w:val="22"/>
      <w:lang w:val="en-US" w:eastAsia="zh-CN" w:bidi="ar"/>
    </w:rPr>
  </w:style>
  <w:style w:type="paragraph" w:customStyle="1" w:styleId="6">
    <w:name w:val="ConsPlusTitle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Calibri" w:hAnsi="Calibri" w:eastAsia="Times New Roman" w:cs="Calibri"/>
      <w:b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99</Words>
  <Characters>568</Characters>
  <Lines>4</Lines>
  <Paragraphs>1</Paragraphs>
  <TotalTime>4</TotalTime>
  <ScaleCrop>false</ScaleCrop>
  <LinksUpToDate>false</LinksUpToDate>
  <CharactersWithSpaces>666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2022-06-15T04:33:00Z</dcterms:created>
  <dc:creator>Луткова Анастасия Дмитриевна</dc:creator>
  <cp:lastModifiedBy>Tokareva.E</cp:lastModifiedBy>
  <dcterms:modified xsi:type="dcterms:W3CDTF">2025-04-14T11:19:20Z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44D994F2CF7D48D696C68CBC103BF409_13</vt:lpwstr>
  </property>
</Properties>
</file>