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89" w:rsidRDefault="002D5356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6F5989" w:rsidRDefault="002D5356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  <w:r>
        <w:rPr>
          <w:rFonts w:ascii="Liberation Serif" w:hAnsi="Liberation Serif" w:cs="Liberation Serif"/>
          <w:b w:val="0"/>
          <w:sz w:val="28"/>
          <w:szCs w:val="28"/>
          <w:shd w:val="clear" w:color="auto" w:fill="00FF00"/>
        </w:rPr>
        <w:t xml:space="preserve"> </w:t>
      </w:r>
    </w:p>
    <w:p w:rsidR="006F5989" w:rsidRDefault="006F5989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6F5989" w:rsidRDefault="00B26390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решение</w:t>
            </w:r>
            <w:r w:rsidR="0036295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Думы </w:t>
            </w:r>
            <w:proofErr w:type="spellStart"/>
            <w:r w:rsidR="0036295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Арамильского</w:t>
            </w:r>
            <w:proofErr w:type="spellEnd"/>
            <w:r w:rsidR="0036295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городского округа «Об утверждении положения о муниципальном контроле в сфере благоустройства в </w:t>
            </w:r>
            <w:proofErr w:type="spellStart"/>
            <w:r w:rsidR="0036295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Арамильском</w:t>
            </w:r>
            <w:proofErr w:type="spellEnd"/>
            <w:r w:rsidR="0036295D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городском округе</w:t>
            </w:r>
            <w:r w:rsidR="002D5356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»                </w:t>
            </w:r>
          </w:p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P55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Pr="00B26390" w:rsidRDefault="002D5356" w:rsidP="00B26390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B263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>Арамильского</w:t>
            </w:r>
            <w:proofErr w:type="spellEnd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городского округа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Администрация </w:t>
            </w:r>
            <w:proofErr w:type="spellStart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>Арамильского</w:t>
            </w:r>
            <w:proofErr w:type="spellEnd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городского округа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proofErr w:type="spellStart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>Верезомская</w:t>
            </w:r>
            <w:proofErr w:type="spellEnd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Светлана Владимировна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>главный специалист (экологическая безопасность)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>385-32-81 (доб.1053)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66"/>
            <w:bookmarkStart w:id="2" w:name="P69"/>
            <w:bookmarkEnd w:id="1"/>
            <w:bookmarkEnd w:id="2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00FF00"/>
              </w:rPr>
              <w:t xml:space="preserve"> </w:t>
            </w:r>
            <w:hyperlink r:id="rId6" w:history="1">
              <w:r>
                <w:rPr>
                  <w:rFonts w:ascii="Liberation Serif" w:hAnsi="Liberation Serif" w:cs="Liberation Serif"/>
                  <w:color w:val="002060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 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P77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6F5989" w:rsidRDefault="006F598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2D5356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6F5989" w:rsidRDefault="006F598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83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6F5989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5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6F5989" w:rsidRDefault="002D5356">
            <w:pPr>
              <w:overflowPunct/>
              <w:autoSpaceDE/>
              <w:jc w:val="both"/>
              <w:textAlignment w:val="auto"/>
            </w:pPr>
            <w:r>
              <w:rPr>
                <w:rFonts w:ascii="Liberation Serif" w:hAnsi="Liberation Serif" w:cs="Liberation Serif"/>
                <w:i/>
                <w:szCs w:val="28"/>
              </w:rPr>
              <w:t>Невозможность осуществлять муниципальный контроль</w:t>
            </w:r>
            <w:r w:rsidR="00B26390">
              <w:rPr>
                <w:rFonts w:ascii="Liberation Serif" w:hAnsi="Liberation Serif" w:cs="Liberation Serif"/>
                <w:i/>
                <w:szCs w:val="28"/>
              </w:rPr>
              <w:t xml:space="preserve"> в сфере благоустройства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6" w:name="P88"/>
            <w:bookmarkEnd w:id="6"/>
            <w:r>
              <w:rPr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6F5989" w:rsidRDefault="006F5989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6F5989" w:rsidRDefault="002D5356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7" w:name="P91"/>
            <w:bookmarkStart w:id="8" w:name="P94"/>
            <w:bookmarkEnd w:id="7"/>
            <w:bookmarkEnd w:id="8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6F5989" w:rsidRDefault="006F5989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103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Федеральный, региональный опыт в соответствующих сферах: </w:t>
            </w:r>
          </w:p>
          <w:p w:rsidR="006F5989" w:rsidRDefault="002D5356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______________________________________________________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11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F5989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3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4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6F5989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 1 января 2022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9"/>
            <w:bookmarkStart w:id="14" w:name="P125"/>
            <w:bookmarkEnd w:id="13"/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F5989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127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6F5989" w:rsidRPr="00B26390" w:rsidRDefault="002D5356" w:rsidP="00B26390">
            <w:pPr>
              <w:pStyle w:val="ConsPlusNormal"/>
              <w:jc w:val="both"/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Об утверждении положения о</w:t>
            </w:r>
            <w:r w:rsidR="00B2639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 w:rsidR="00B26390" w:rsidRPr="00B2639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муниципальном контроле в сфере благоустройства</w:t>
            </w:r>
            <w:r w:rsidR="00B2639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</w:t>
            </w:r>
            <w:r w:rsidR="00B26390" w:rsidRPr="00B2639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="00B26390" w:rsidRPr="00B2639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Арамильском</w:t>
            </w:r>
            <w:proofErr w:type="spellEnd"/>
            <w:r w:rsidR="00B26390" w:rsidRPr="00B26390"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городском округе</w:t>
            </w:r>
            <w:r>
              <w:rPr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» в соответствии с требованиями, установленными Федеральным законом от 31 июля 2020 года № 248-ФЗ поз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2D5356">
            <w:pPr>
              <w:spacing w:after="120"/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>
              <w:rPr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6F5989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5989" w:rsidRDefault="002D5356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5989" w:rsidRDefault="002D5356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5989" w:rsidRDefault="002D5356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6F5989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5989" w:rsidRDefault="002D5356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5989" w:rsidRDefault="002D5356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5989" w:rsidRDefault="002D5356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F5989" w:rsidRDefault="006F5989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36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F5989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8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муниципального контроля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9.1.3.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9.2.1. Органы муниципального контроля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____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(указать кол-во)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__;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9.2.3. Индивидуальные предприниматели –____ субъектов; юридические лица – ____ субъектов;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6F5989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53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4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5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>Арамильского</w:t>
            </w:r>
            <w:proofErr w:type="spellEnd"/>
            <w:r w:rsidR="00B2639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городского округа</w:t>
            </w:r>
          </w:p>
        </w:tc>
      </w:tr>
      <w:tr w:rsidR="006F5989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формирование плана проверок на основе риск-ориентированного подхода;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разработка и утверждение программы профилактики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рисков причинения вреда (ущерба)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(реализация полномочий в сфере __________________ осуществляется в рамках исполнения существующих функций) </w:t>
            </w:r>
          </w:p>
        </w:tc>
      </w:tr>
      <w:tr w:rsidR="006F5989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Прокуратура Свердловской области</w:t>
            </w:r>
          </w:p>
        </w:tc>
      </w:tr>
      <w:tr w:rsidR="006F5989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Единовременные расходы: 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6F5989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6F5989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6F5989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6F5989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6F5989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both"/>
            </w:pPr>
            <w:bookmarkStart w:id="21" w:name="P18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P191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6F5989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3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4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5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6F5989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Юр. Лица, индивидуальные </w:t>
            </w:r>
            <w:proofErr w:type="gramStart"/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предприниматели,  попадающие</w:t>
            </w:r>
            <w:proofErr w:type="gramEnd"/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под вид муниципального контроля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6F5989" w:rsidRDefault="006F5989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9"/>
            <w:bookmarkStart w:id="27" w:name="P207"/>
            <w:bookmarkEnd w:id="26"/>
            <w:bookmarkEnd w:id="27"/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overflowPunct/>
              <w:jc w:val="both"/>
              <w:textAlignment w:val="auto"/>
            </w:pPr>
            <w:r>
              <w:rPr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Fonts w:ascii="Liberation Serif" w:hAnsi="Liberation Serif" w:cs="Liberation Serif"/>
                <w:i/>
                <w:szCs w:val="28"/>
              </w:rPr>
              <w:t>: 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F5989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8" w:name="P216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13.1. Риски решения проблемы предложенным способом и риски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7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13.4. Степень контроля рисков:</w:t>
            </w:r>
          </w:p>
        </w:tc>
      </w:tr>
      <w:tr w:rsidR="006F5989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lastRenderedPageBreak/>
              <w:t>Некорректное отнесение контролируемых лиц к той или иной категории риска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6F5989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6F5989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6F5989" w:rsidRDefault="002D5356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Распределение </w:t>
            </w:r>
          </w:p>
          <w:p w:rsidR="006F5989" w:rsidRDefault="002D5356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6F5989" w:rsidRDefault="002D5356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мероприятий по профилактике нарушений обязательных требований;</w:t>
            </w:r>
          </w:p>
          <w:p w:rsidR="006F5989" w:rsidRDefault="002D5356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4. Проведение оценки результативности и эффективности муниципального контроля (при наличии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утвержденных показателей результативности и эффективности);</w:t>
            </w:r>
          </w:p>
          <w:p w:rsidR="006F5989" w:rsidRDefault="002D5356"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5. Межведомственное взаимодействие при осуществлении муниципального  контроля</w:t>
            </w:r>
            <w:r>
              <w:rPr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октября 2021 года, далее - постоянно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Проведение видов контрольно-надзорных мероприятий, определенных положением о виде муниципального </w:t>
            </w:r>
            <w:proofErr w:type="spellStart"/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котроля</w:t>
            </w:r>
            <w:proofErr w:type="spellEnd"/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, в соответствии с требованиями, установленными Федеральным законом от 31 июля 2020 года </w:t>
            </w:r>
          </w:p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№ 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6F5989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6F5989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6F598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49"/>
            <w:bookmarkStart w:id="31" w:name="P260"/>
            <w:bookmarkEnd w:id="30"/>
            <w:bookmarkEnd w:id="31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6F5989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6F5989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spacing w:line="216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Недопущение причинения вреда (ущерба) охраняемым законом ценностям,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07423E" w:rsidP="0007423E">
            <w:pPr>
              <w:overflowPunct/>
              <w:spacing w:line="216" w:lineRule="auto"/>
              <w:textAlignment w:val="auto"/>
            </w:pPr>
            <w:r>
              <w:lastRenderedPageBreak/>
              <w:t>-</w:t>
            </w:r>
            <w:r w:rsidR="004D50DC" w:rsidRPr="004D50DC">
              <w:t xml:space="preserve">количество обращений граждан и организаций о нарушении обязательных </w:t>
            </w:r>
            <w:r w:rsidR="004D50DC" w:rsidRPr="004D50DC">
              <w:lastRenderedPageBreak/>
              <w:t>требований, поступивших в контрольный орган</w:t>
            </w:r>
            <w:r>
              <w:t>;</w:t>
            </w:r>
          </w:p>
          <w:p w:rsidR="0007423E" w:rsidRDefault="0007423E">
            <w:pPr>
              <w:overflowPunct/>
              <w:spacing w:line="216" w:lineRule="auto"/>
              <w:textAlignment w:val="auto"/>
            </w:pPr>
            <w:r>
              <w:t xml:space="preserve">- </w:t>
            </w:r>
            <w:r w:rsidRPr="0007423E">
              <w:t>количество проведенных контрольным органом внеплановых контрольных мероприятий</w:t>
            </w:r>
            <w:r>
              <w:t>;</w:t>
            </w:r>
          </w:p>
          <w:p w:rsidR="0007423E" w:rsidRDefault="0007423E">
            <w:pPr>
              <w:overflowPunct/>
              <w:spacing w:line="216" w:lineRule="auto"/>
              <w:textAlignment w:val="auto"/>
            </w:pPr>
            <w:r>
              <w:t xml:space="preserve">- </w:t>
            </w:r>
            <w:r w:rsidRPr="0007423E">
              <w:t>количество принятых органами прокуратуры решений о согласовании проведения контрольным органом внепланового контрольного мероприятия</w:t>
            </w:r>
            <w:r>
              <w:t>;</w:t>
            </w:r>
          </w:p>
          <w:p w:rsidR="0007423E" w:rsidRDefault="0007423E">
            <w:pPr>
              <w:overflowPunct/>
              <w:spacing w:line="216" w:lineRule="auto"/>
              <w:textAlignment w:val="auto"/>
            </w:pPr>
            <w:r>
              <w:t xml:space="preserve">- </w:t>
            </w:r>
            <w:r w:rsidRPr="0007423E">
              <w:t>количество выявленных контрольным органом нарушений обязательных требований</w:t>
            </w:r>
            <w:r>
              <w:t>;</w:t>
            </w:r>
          </w:p>
          <w:p w:rsidR="0007423E" w:rsidRDefault="0007423E">
            <w:pPr>
              <w:overflowPunct/>
              <w:spacing w:line="216" w:lineRule="auto"/>
              <w:textAlignment w:val="auto"/>
            </w:pPr>
            <w:r>
              <w:t xml:space="preserve">- </w:t>
            </w:r>
            <w:r w:rsidRPr="0007423E">
              <w:t>количество устраненных нарушений обязательных требований</w:t>
            </w:r>
            <w:r>
              <w:t>;</w:t>
            </w:r>
          </w:p>
          <w:p w:rsidR="0007423E" w:rsidRDefault="0007423E">
            <w:pPr>
              <w:overflowPunct/>
              <w:spacing w:line="216" w:lineRule="auto"/>
              <w:textAlignment w:val="auto"/>
            </w:pPr>
            <w:r>
              <w:t xml:space="preserve">- </w:t>
            </w:r>
            <w:r w:rsidRPr="0007423E">
              <w:t>количество поступивших возражений в отношении акта контрольного мероприятия</w:t>
            </w:r>
            <w:r>
              <w:t>;</w:t>
            </w:r>
          </w:p>
          <w:p w:rsidR="0007423E" w:rsidRDefault="0007423E">
            <w:pPr>
              <w:overflowPunct/>
              <w:spacing w:line="216" w:lineRule="auto"/>
              <w:textAlignment w:val="auto"/>
            </w:pPr>
            <w:r>
              <w:t xml:space="preserve">- </w:t>
            </w:r>
            <w:r w:rsidRPr="0007423E">
              <w:t xml:space="preserve">количество выданных контрольным органом предписаний об устранении нарушений </w:t>
            </w:r>
            <w:r w:rsidRPr="0007423E">
              <w:lastRenderedPageBreak/>
              <w:t>обязательных требований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6F5989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shd w:val="clear" w:color="auto" w:fill="FFFF00"/>
              </w:rPr>
            </w:pPr>
          </w:p>
        </w:tc>
      </w:tr>
      <w:tr w:rsidR="006F5989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89" w:rsidRDefault="002D5356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6F5989" w:rsidRDefault="002D5356">
            <w:pPr>
              <w:overflowPunct/>
              <w:autoSpaceDE/>
              <w:spacing w:line="216" w:lineRule="auto"/>
              <w:jc w:val="both"/>
              <w:textAlignment w:val="auto"/>
            </w:pPr>
            <w:bookmarkStart w:id="32" w:name="_GoBack"/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</w:t>
            </w:r>
            <w:r w:rsidR="00B60238">
              <w:rPr>
                <w:rFonts w:ascii="Liberation Serif" w:eastAsia="Calibri" w:hAnsi="Liberation Serif" w:cs="Liberation Serif"/>
                <w:i/>
                <w:szCs w:val="28"/>
                <w:u w:val="single"/>
                <w:lang w:eastAsia="en-US"/>
              </w:rPr>
              <w:t xml:space="preserve"> </w:t>
            </w:r>
            <w:r w:rsidR="00B60238"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муниципального контроля в сфере благоустройства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>.</w:t>
            </w:r>
          </w:p>
          <w:bookmarkEnd w:id="32"/>
          <w:p w:rsidR="006F5989" w:rsidRDefault="002D5356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6F5989" w:rsidRDefault="002D5356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6F5989" w:rsidRDefault="006F5989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6F5989" w:rsidRDefault="006F598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5989" w:rsidRDefault="002D535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Заместитель Министра экономики и территориального</w:t>
      </w:r>
    </w:p>
    <w:p w:rsidR="006F5989" w:rsidRDefault="002D535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развития Свердловской области</w:t>
      </w:r>
    </w:p>
    <w:p w:rsidR="006F5989" w:rsidRDefault="006F5989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6F5989" w:rsidRDefault="002D535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Ускова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А.Ю.</w:t>
      </w:r>
    </w:p>
    <w:p w:rsidR="006F5989" w:rsidRDefault="002D5356">
      <w:pPr>
        <w:pStyle w:val="ConsPlusNonformat"/>
        <w:tabs>
          <w:tab w:val="left" w:pos="5529"/>
          <w:tab w:val="left" w:pos="6946"/>
          <w:tab w:val="left" w:pos="8222"/>
        </w:tabs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</w:t>
      </w:r>
      <w:r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6F5989" w:rsidRDefault="002D5356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Подпись</w:t>
      </w:r>
    </w:p>
    <w:p w:rsidR="006F5989" w:rsidRDefault="006F5989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6F5989" w:rsidRDefault="006F5989">
      <w:pPr>
        <w:rPr>
          <w:rFonts w:ascii="Liberation Serif" w:hAnsi="Liberation Serif" w:cs="Liberation Serif"/>
          <w:szCs w:val="28"/>
        </w:rPr>
      </w:pPr>
    </w:p>
    <w:sectPr w:rsidR="006F5989">
      <w:headerReference w:type="default" r:id="rId7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56" w:rsidRDefault="002D5356">
      <w:r>
        <w:separator/>
      </w:r>
    </w:p>
  </w:endnote>
  <w:endnote w:type="continuationSeparator" w:id="0">
    <w:p w:rsidR="002D5356" w:rsidRDefault="002D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56" w:rsidRDefault="002D5356">
      <w:r>
        <w:rPr>
          <w:color w:val="000000"/>
        </w:rPr>
        <w:separator/>
      </w:r>
    </w:p>
  </w:footnote>
  <w:footnote w:type="continuationSeparator" w:id="0">
    <w:p w:rsidR="002D5356" w:rsidRDefault="002D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9C" w:rsidRDefault="002D5356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60238">
      <w:rPr>
        <w:noProof/>
      </w:rPr>
      <w:t>9</w:t>
    </w:r>
    <w:r>
      <w:fldChar w:fldCharType="end"/>
    </w:r>
  </w:p>
  <w:p w:rsidR="00250E9C" w:rsidRDefault="00B60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9"/>
    <w:rsid w:val="0007423E"/>
    <w:rsid w:val="000F7112"/>
    <w:rsid w:val="002D5356"/>
    <w:rsid w:val="0036295D"/>
    <w:rsid w:val="004D50DC"/>
    <w:rsid w:val="00544EE7"/>
    <w:rsid w:val="006F5989"/>
    <w:rsid w:val="00B26390"/>
    <w:rsid w:val="00B60238"/>
    <w:rsid w:val="00D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292A"/>
  <w15:docId w15:val="{E13F92FF-FED5-42C5-B7C8-8CB7EDDF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pPr>
      <w:overflowPunct/>
      <w:autoSpaceDE/>
      <w:spacing w:after="160" w:line="242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</w:rPr>
  </w:style>
  <w:style w:type="character" w:customStyle="1" w:styleId="ad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Луткова Анастасия Дмитриевна</cp:lastModifiedBy>
  <cp:revision>3</cp:revision>
  <cp:lastPrinted>2019-04-26T11:59:00Z</cp:lastPrinted>
  <dcterms:created xsi:type="dcterms:W3CDTF">2021-08-06T07:01:00Z</dcterms:created>
  <dcterms:modified xsi:type="dcterms:W3CDTF">2021-08-06T08:15:00Z</dcterms:modified>
</cp:coreProperties>
</file>