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B84E" w14:textId="77777777" w:rsidR="00CC24C4" w:rsidRPr="008F2832" w:rsidRDefault="00CC24C4" w:rsidP="00CC24C4">
      <w:pPr>
        <w:pStyle w:val="ConsPlusNormal"/>
        <w:pageBreakBefore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3 к Порядку</w:t>
      </w:r>
    </w:p>
    <w:p w14:paraId="42F86E63" w14:textId="77777777" w:rsidR="00CC24C4" w:rsidRPr="008F2832" w:rsidRDefault="00CC24C4" w:rsidP="00CC24C4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4FAFB4F0" w14:textId="77777777" w:rsidR="00CC24C4" w:rsidRPr="008F2832" w:rsidRDefault="00CC24C4" w:rsidP="00CC24C4">
      <w:pPr>
        <w:pStyle w:val="ConsPlusNormal"/>
        <w:suppressAutoHyphens/>
        <w:ind w:left="5670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воз</w:t>
      </w:r>
      <w:r>
        <w:rPr>
          <w:rFonts w:ascii="Liberation Serif" w:hAnsi="Liberation Serif" w:cs="Liberation Serif"/>
          <w:sz w:val="28"/>
          <w:szCs w:val="28"/>
        </w:rPr>
        <w:t xml:space="preserve">действия проектов </w:t>
      </w:r>
      <w:r w:rsidRPr="008F2832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22BD4763" w14:textId="77777777" w:rsidR="00CC24C4" w:rsidRPr="008F2832" w:rsidRDefault="00CC24C4" w:rsidP="00CC24C4">
      <w:pPr>
        <w:pStyle w:val="ConsPlusNormal"/>
        <w:suppressAutoHyphens/>
        <w:ind w:left="5954" w:firstLine="0"/>
        <w:rPr>
          <w:rFonts w:ascii="Liberation Serif" w:hAnsi="Liberation Serif" w:cs="Liberation Serif"/>
          <w:sz w:val="24"/>
          <w:szCs w:val="24"/>
        </w:rPr>
      </w:pPr>
    </w:p>
    <w:p w14:paraId="52685F87" w14:textId="77777777" w:rsidR="00CC24C4" w:rsidRPr="008F2832" w:rsidRDefault="00CC24C4" w:rsidP="00CC24C4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0925B196" w14:textId="77777777" w:rsidR="00CC24C4" w:rsidRPr="008F2832" w:rsidRDefault="00CC24C4" w:rsidP="00CC24C4">
      <w:pPr>
        <w:pStyle w:val="ConsPlusTitle"/>
        <w:suppressAutoHyphens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  <w:r w:rsidRPr="008F2832">
        <w:rPr>
          <w:rFonts w:ascii="Liberation Serif" w:hAnsi="Liberation Serif" w:cs="Liberation Serif"/>
          <w:b w:val="0"/>
          <w:sz w:val="28"/>
          <w:szCs w:val="28"/>
        </w:rPr>
        <w:t>УВЕДОМЛЕНИЕ</w:t>
      </w:r>
    </w:p>
    <w:p w14:paraId="061A7E6B" w14:textId="77777777" w:rsidR="00CC24C4" w:rsidRPr="008F2832" w:rsidRDefault="00CC24C4" w:rsidP="00CC24C4">
      <w:pPr>
        <w:pStyle w:val="ConsPlusTitle"/>
        <w:suppressAutoHyphens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F2832">
        <w:rPr>
          <w:rFonts w:ascii="Liberation Serif" w:hAnsi="Liberation Serif" w:cs="Liberation Serif"/>
          <w:b w:val="0"/>
          <w:sz w:val="28"/>
          <w:szCs w:val="28"/>
        </w:rPr>
        <w:t xml:space="preserve">о проведении публичных консультаций для проектов нормативных правовых актов средней и высокой степени регулирующего воздействия </w:t>
      </w:r>
    </w:p>
    <w:p w14:paraId="417087D1" w14:textId="77777777" w:rsidR="00CC24C4" w:rsidRPr="008F2832" w:rsidRDefault="00CC24C4" w:rsidP="00CC24C4">
      <w:pPr>
        <w:pStyle w:val="ConsPlusTitle"/>
        <w:suppressAutoHyphens/>
        <w:jc w:val="center"/>
        <w:rPr>
          <w:rFonts w:ascii="Liberation Serif" w:hAnsi="Liberation Serif" w:cs="Liberation Serif"/>
          <w:b w:val="0"/>
          <w:dstrike/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31"/>
        <w:gridCol w:w="568"/>
        <w:gridCol w:w="210"/>
        <w:gridCol w:w="357"/>
        <w:gridCol w:w="709"/>
        <w:gridCol w:w="141"/>
        <w:gridCol w:w="142"/>
        <w:gridCol w:w="918"/>
        <w:gridCol w:w="74"/>
        <w:gridCol w:w="851"/>
        <w:gridCol w:w="452"/>
        <w:gridCol w:w="1316"/>
        <w:gridCol w:w="142"/>
        <w:gridCol w:w="75"/>
        <w:gridCol w:w="2127"/>
      </w:tblGrid>
      <w:tr w:rsidR="00CC24C4" w:rsidRPr="008F2832" w14:paraId="0F532E25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891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BC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C24C4" w:rsidRPr="008F2832" w14:paraId="455CA518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F24C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14:paraId="68E51191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36DFDE37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CC24C4" w:rsidRPr="008F2832" w14:paraId="30FF9DCA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5DA4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P55"/>
            <w:bookmarkEnd w:id="0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20D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отраслевом органе - разработчике проекта акта, проводящем оценку регулирующего воздействия</w:t>
            </w:r>
          </w:p>
        </w:tc>
      </w:tr>
      <w:tr w:rsidR="00CC24C4" w:rsidRPr="008F2832" w14:paraId="26C84DF7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560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14:paraId="3287A94B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</w:t>
            </w:r>
          </w:p>
          <w:p w14:paraId="19767EC9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71EAA501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14:paraId="51C91C36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</w:t>
            </w:r>
          </w:p>
          <w:p w14:paraId="2B4C1F68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225D9FD1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14:paraId="7CC8CFE4" w14:textId="77777777" w:rsidR="00CC24C4" w:rsidRPr="008F2832" w:rsidRDefault="00CC24C4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EDC5C28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CC24C4" w:rsidRPr="008F2832" w14:paraId="01F5E37D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1A1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66"/>
            <w:bookmarkStart w:id="2" w:name="P69"/>
            <w:bookmarkEnd w:id="1"/>
            <w:bookmarkEnd w:id="2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5078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8F2832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</w:rPr>
                <w:t>www.regulation.midural.ru</w:t>
              </w:r>
            </w:hyperlink>
            <w:r w:rsidRPr="008F2832">
              <w:rPr>
                <w:rStyle w:val="a3"/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8F2832">
              <w:rPr>
                <w:rStyle w:val="a3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CC24C4" w:rsidRPr="008F2832" w14:paraId="73F6607F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E85C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P77"/>
            <w:bookmarkEnd w:id="3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E2E0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C24C4" w:rsidRPr="008F2832" w14:paraId="3EFDEEEF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0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14:paraId="46FF11A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544A5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14:paraId="36B3F6CB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0F9CC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CC24C4" w:rsidRPr="008F2832" w14:paraId="6B7DA794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1799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P83"/>
            <w:bookmarkEnd w:id="4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1B14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C24C4" w:rsidRPr="008F2832" w14:paraId="2351CCF4" w14:textId="77777777" w:rsidTr="00CC24C4">
        <w:trPr>
          <w:trHeight w:val="2155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663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85"/>
            <w:bookmarkEnd w:id="5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14:paraId="6FD193E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6244A94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88"/>
            <w:bookmarkEnd w:id="6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br/>
              <w:t>(место для текстового описания)</w:t>
            </w:r>
          </w:p>
          <w:p w14:paraId="494DF03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04A59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91"/>
            <w:bookmarkStart w:id="8" w:name="P94"/>
            <w:bookmarkEnd w:id="7"/>
            <w:bookmarkEnd w:id="8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CC24C4" w:rsidRPr="008F2832" w14:paraId="778C0D44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7579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P103"/>
            <w:bookmarkEnd w:id="9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6BB7" w14:textId="77777777" w:rsidR="00CC24C4" w:rsidRPr="008F2832" w:rsidRDefault="00CC24C4" w:rsidP="00D335FF">
            <w:pPr>
              <w:pStyle w:val="ConsPlusNormal"/>
              <w:suppressAutoHyphens/>
              <w:ind w:hanging="68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C24C4" w:rsidRPr="008F2832" w14:paraId="3E9B2116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5F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6.1. Муниципальный опыт в соответствующих сферах: (место для текстового описания)</w:t>
            </w:r>
          </w:p>
          <w:p w14:paraId="564E9D6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0FA54F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CC24C4" w:rsidRPr="008F2832" w14:paraId="5CB1F9B9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527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P111"/>
            <w:bookmarkEnd w:id="10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330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CC24C4" w:rsidRPr="008F2832" w14:paraId="3C38C3E9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80C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P113"/>
            <w:bookmarkEnd w:id="11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607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P114"/>
            <w:bookmarkEnd w:id="12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A4C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C24C4" w:rsidRPr="008F2832" w14:paraId="194B61C3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945D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201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19F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20E9E6C1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6E0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2B1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8C1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3B89160A" w14:textId="77777777" w:rsidTr="00CC24C4">
        <w:trPr>
          <w:trHeight w:val="226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081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F43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47C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6D96D832" w14:textId="77777777" w:rsidTr="00CC24C4">
        <w:trPr>
          <w:trHeight w:val="91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1EE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P119"/>
            <w:bookmarkEnd w:id="13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</w:tc>
      </w:tr>
      <w:tr w:rsidR="00CC24C4" w:rsidRPr="008F2832" w14:paraId="1441060D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3F8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P125"/>
            <w:bookmarkEnd w:id="14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A09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C24C4" w:rsidRPr="008F2832" w14:paraId="33198C64" w14:textId="77777777" w:rsidTr="00CC24C4">
        <w:trPr>
          <w:trHeight w:val="173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DED7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P127"/>
            <w:bookmarkEnd w:id="15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14:paraId="001EA7D7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C24C4" w:rsidRPr="008F2832" w14:paraId="2DBDE02E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B563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6" w:name="P136"/>
            <w:bookmarkEnd w:id="16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961F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C24C4" w:rsidRPr="008F2832" w14:paraId="203C3C1E" w14:textId="77777777" w:rsidTr="00CC24C4"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1209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7" w:name="P138"/>
            <w:bookmarkEnd w:id="17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14:paraId="1616CE7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  <w:p w14:paraId="03FC8ED8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9.1.2.</w:t>
            </w:r>
          </w:p>
          <w:p w14:paraId="0B00AA7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C31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14:paraId="223E242B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14:paraId="44FE3A3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9.2.1.</w:t>
            </w:r>
          </w:p>
          <w:p w14:paraId="680C63D0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9.2.2.</w:t>
            </w:r>
          </w:p>
          <w:p w14:paraId="3E5E0AD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14:paraId="38D39421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7E699A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14:paraId="54A118B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9.3.1.</w:t>
            </w:r>
          </w:p>
          <w:p w14:paraId="433F2E01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9.3.2.</w:t>
            </w:r>
          </w:p>
          <w:p w14:paraId="69D4B54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CC24C4" w:rsidRPr="008F2832" w14:paraId="0AF5A830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904" w14:textId="77777777" w:rsidR="00CC24C4" w:rsidRPr="008F2832" w:rsidRDefault="00CC24C4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CC24C4" w:rsidRPr="008F2832" w14:paraId="29AE1179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E2BA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B045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Новые функции, полномочия, обязанности и права органов местного самоуправления Арамильского городского округа, или сведения об их изменении, а также оценка соответствующих расходов (возможных поступлений) бюджета Арамильского городского округа</w:t>
            </w:r>
          </w:p>
        </w:tc>
      </w:tr>
      <w:tr w:rsidR="00CC24C4" w:rsidRPr="008F2832" w14:paraId="324D363E" w14:textId="77777777" w:rsidTr="00CC24C4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099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8" w:name="P153"/>
            <w:bookmarkEnd w:id="18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758D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9" w:name="P154"/>
            <w:bookmarkEnd w:id="19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10.2. Порядок реализации: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65E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0" w:name="P155"/>
            <w:bookmarkEnd w:id="20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CC24C4" w:rsidRPr="008F2832" w14:paraId="02F2F2DE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4CD" w14:textId="77777777" w:rsidR="00CC24C4" w:rsidRPr="008F2832" w:rsidRDefault="00CC24C4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CC24C4" w:rsidRPr="008F2832" w14:paraId="7B9DB3CD" w14:textId="77777777" w:rsidTr="00CC24C4">
        <w:trPr>
          <w:trHeight w:val="543"/>
        </w:trPr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F2AF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Функция 1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AB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8D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14:paraId="0E555B56" w14:textId="77777777" w:rsidR="00CC24C4" w:rsidRPr="008F2832" w:rsidRDefault="00CC24C4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CC24C4" w:rsidRPr="008F2832" w14:paraId="07637F05" w14:textId="77777777" w:rsidTr="00CC24C4">
        <w:trPr>
          <w:trHeight w:val="535"/>
        </w:trPr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BD33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45EF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E22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CC24C4" w:rsidRPr="008F2832" w14:paraId="3E6499B8" w14:textId="77777777" w:rsidTr="00CC24C4">
        <w:trPr>
          <w:trHeight w:val="535"/>
        </w:trPr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8CEE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3D15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86E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CC24C4" w:rsidRPr="008F2832" w14:paraId="737B5CDC" w14:textId="77777777" w:rsidTr="00CC24C4"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5CE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Функция 2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12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244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Единовременные расходы в:</w:t>
            </w:r>
          </w:p>
          <w:p w14:paraId="7A32372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CC24C4" w:rsidRPr="008F2832" w14:paraId="4DCCE4A9" w14:textId="77777777" w:rsidTr="00CC24C4"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6805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AA6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2C2F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CC24C4" w:rsidRPr="008F2832" w14:paraId="60C0242F" w14:textId="77777777" w:rsidTr="00CC24C4"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FC37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9523" w14:textId="77777777" w:rsidR="00CC24C4" w:rsidRPr="008F2832" w:rsidRDefault="00CC24C4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1A4E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CC24C4" w:rsidRPr="008F2832" w14:paraId="0328897C" w14:textId="77777777" w:rsidTr="00CC24C4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6F6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6D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9CC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66B48C09" w14:textId="77777777" w:rsidTr="00CC24C4">
        <w:tc>
          <w:tcPr>
            <w:tcW w:w="6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06B4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B20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671847D2" w14:textId="77777777" w:rsidTr="00CC24C4">
        <w:tc>
          <w:tcPr>
            <w:tcW w:w="6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2510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B0F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5F0AE94B" w14:textId="77777777" w:rsidTr="00CC24C4">
        <w:tc>
          <w:tcPr>
            <w:tcW w:w="6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32B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76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0DBEA7EA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FA4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1" w:name="P185"/>
            <w:bookmarkEnd w:id="21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10.4. Иные сведения о расходах (возможных поступлениях) бюджета Арамильского городского округа: (место для текстового описания)</w:t>
            </w:r>
          </w:p>
        </w:tc>
      </w:tr>
      <w:tr w:rsidR="00CC24C4" w:rsidRPr="008F2832" w14:paraId="3745DCF4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6D9C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10.5. Источники данных: (место для текстового описания)</w:t>
            </w:r>
          </w:p>
        </w:tc>
      </w:tr>
      <w:tr w:rsidR="00CC24C4" w:rsidRPr="008F2832" w14:paraId="10512EB6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49F8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73F3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C24C4" w:rsidRPr="008F2832" w14:paraId="23BFB0F2" w14:textId="77777777" w:rsidTr="00CC24C4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B24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2" w:name="P193"/>
            <w:bookmarkEnd w:id="22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A73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3" w:name="P194"/>
            <w:bookmarkEnd w:id="23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8749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4" w:name="P195"/>
            <w:bookmarkEnd w:id="24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C24C4" w:rsidRPr="008F2832" w14:paraId="62F0A579" w14:textId="77777777" w:rsidTr="00CC24C4"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FAF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73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3DA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65C1C953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6A5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5" w:name="P199"/>
            <w:bookmarkStart w:id="26" w:name="P207"/>
            <w:bookmarkEnd w:id="25"/>
            <w:bookmarkEnd w:id="26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32B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CC24C4" w:rsidRPr="008F2832" w14:paraId="2225F38D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518A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12.1. (место для текстового описания)</w:t>
            </w:r>
          </w:p>
        </w:tc>
      </w:tr>
      <w:tr w:rsidR="00CC24C4" w:rsidRPr="008F2832" w14:paraId="1F0ADD75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2897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12.2. Источники данных: (место для текстового описания)</w:t>
            </w:r>
          </w:p>
        </w:tc>
      </w:tr>
      <w:tr w:rsidR="00CC24C4" w:rsidRPr="008F2832" w14:paraId="350DA44E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989B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0F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C24C4" w:rsidRPr="008F2832" w14:paraId="6FC584EC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1A0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7" w:name="P216"/>
            <w:bookmarkEnd w:id="27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474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8" w:name="P217"/>
            <w:bookmarkEnd w:id="28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DEDC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9D39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13.4. Степень контроля рисков:</w:t>
            </w:r>
          </w:p>
        </w:tc>
      </w:tr>
      <w:tr w:rsidR="00CC24C4" w:rsidRPr="008F2832" w14:paraId="1B4BE1FF" w14:textId="77777777" w:rsidTr="00CC24C4">
        <w:trPr>
          <w:trHeight w:val="483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3D4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9A1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85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736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3D864973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C56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0F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778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916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328BD5E7" w14:textId="77777777" w:rsidTr="00CC24C4"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8D0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87A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AB8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BF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470A5B49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D337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A5B8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CC24C4" w:rsidRPr="008F2832" w14:paraId="4893A9AC" w14:textId="77777777" w:rsidTr="00CC24C4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862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1C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14.2. Сроки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C19B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27A1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40E7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14.5. Источник финансирования</w:t>
            </w:r>
          </w:p>
        </w:tc>
      </w:tr>
      <w:tr w:rsidR="00CC24C4" w:rsidRPr="008F2832" w14:paraId="741A7D4D" w14:textId="77777777" w:rsidTr="00CC24C4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F776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AC0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C4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8B5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933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3F169C92" w14:textId="77777777" w:rsidTr="00CC24C4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085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760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52B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4C6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70A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17AE86CB" w14:textId="77777777" w:rsidTr="00CC24C4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60E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1C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949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5C6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5D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8F2832" w14:paraId="556B801A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D7DD" w14:textId="77777777" w:rsidR="00CC24C4" w:rsidRPr="008F2832" w:rsidRDefault="00CC24C4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0304" w14:textId="77777777" w:rsidR="00CC24C4" w:rsidRPr="008F2832" w:rsidRDefault="00CC24C4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C24C4" w:rsidRPr="008F2832" w14:paraId="5BEA3FA1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282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15.1. Предполагаемая дата вступления в силу проекта акта: ___________ 20__ г.</w:t>
            </w:r>
          </w:p>
        </w:tc>
      </w:tr>
      <w:tr w:rsidR="00CC24C4" w:rsidRPr="008F2832" w14:paraId="7F208529" w14:textId="77777777" w:rsidTr="00CC24C4"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EB7D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F8BF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 с момента принятия проекта нормативн</w:t>
            </w:r>
            <w:bookmarkStart w:id="29" w:name="_GoBack"/>
            <w:bookmarkEnd w:id="29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ого правового акта)</w:t>
            </w:r>
          </w:p>
        </w:tc>
      </w:tr>
      <w:tr w:rsidR="00CC24C4" w:rsidRPr="008F2832" w14:paraId="1B17D0F6" w14:textId="77777777" w:rsidTr="00CC24C4"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491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CD17" w14:textId="77777777" w:rsidR="00CC24C4" w:rsidRPr="008F2832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C24C4" w:rsidRPr="008F2832" w14:paraId="63913BF7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2C87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CC24C4" w:rsidRPr="008F2832" w14:paraId="646E1862" w14:textId="77777777" w:rsidTr="00CC24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58F" w14:textId="77777777" w:rsidR="00CC24C4" w:rsidRPr="008F2832" w:rsidRDefault="00CC24C4" w:rsidP="00D335FF">
            <w:pPr>
              <w:pStyle w:val="ConsPlusNormal"/>
              <w:suppressAutoHyphens/>
              <w:ind w:right="221" w:firstLine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0" w:name="P249"/>
            <w:bookmarkStart w:id="31" w:name="P260"/>
            <w:bookmarkEnd w:id="30"/>
            <w:bookmarkEnd w:id="31"/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3F31" w14:textId="77777777" w:rsidR="00CC24C4" w:rsidRPr="008F2832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C24C4" w:rsidRPr="00913C39" w14:paraId="61E62443" w14:textId="77777777" w:rsidTr="00CC24C4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2C8" w14:textId="77777777" w:rsidR="00CC24C4" w:rsidRPr="00913C39" w:rsidRDefault="00CC24C4" w:rsidP="00D335FF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842D" w14:textId="77777777" w:rsidR="00CC24C4" w:rsidRPr="00913C39" w:rsidRDefault="00CC24C4" w:rsidP="00D335FF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6D05" w14:textId="77777777" w:rsidR="00CC24C4" w:rsidRPr="00913C39" w:rsidRDefault="00CC24C4" w:rsidP="00D335FF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14E8" w14:textId="77777777" w:rsidR="00CC24C4" w:rsidRPr="00913C39" w:rsidRDefault="00CC24C4" w:rsidP="00D335FF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16.4. Целевые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FC0B" w14:textId="77777777" w:rsidR="00CC24C4" w:rsidRPr="00913C39" w:rsidRDefault="00CC24C4" w:rsidP="00D335FF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C24C4" w:rsidRPr="00913C39" w14:paraId="462F6F4B" w14:textId="77777777" w:rsidTr="00CC24C4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854" w14:textId="77777777" w:rsidR="00CC24C4" w:rsidRPr="00913C39" w:rsidRDefault="00CC24C4" w:rsidP="00D335FF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E1F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2C5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4FC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CDD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913C39" w14:paraId="7A75185C" w14:textId="77777777" w:rsidTr="00CC24C4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7540" w14:textId="77777777" w:rsidR="00CC24C4" w:rsidRPr="00913C39" w:rsidRDefault="00CC24C4" w:rsidP="00D335FF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C64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7DC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C64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E62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913C39" w14:paraId="7362B389" w14:textId="77777777" w:rsidTr="00CC24C4"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7B8D" w14:textId="77777777" w:rsidR="00CC24C4" w:rsidRPr="00913C39" w:rsidRDefault="00CC24C4" w:rsidP="00D335FF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36B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22C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707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79B" w14:textId="77777777" w:rsidR="00CC24C4" w:rsidRPr="00913C39" w:rsidRDefault="00CC24C4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C24C4" w:rsidRPr="00913C39" w14:paraId="747A1357" w14:textId="77777777" w:rsidTr="00CC24C4"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1BF" w14:textId="77777777" w:rsidR="00CC24C4" w:rsidRPr="00913C39" w:rsidRDefault="00CC24C4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3C39">
              <w:rPr>
                <w:rFonts w:ascii="Liberation Serif" w:hAnsi="Liberation Serif" w:cs="Liberation Serif"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14:paraId="0A44F156" w14:textId="77777777" w:rsidR="00CC24C4" w:rsidRPr="00913C39" w:rsidRDefault="00CC24C4" w:rsidP="00CC24C4">
      <w:pPr>
        <w:pStyle w:val="ConsPlusNonformat"/>
        <w:suppressAutoHyphens/>
        <w:ind w:hanging="426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P405"/>
      <w:bookmarkEnd w:id="32"/>
    </w:p>
    <w:p w14:paraId="11EB261E" w14:textId="77777777" w:rsidR="00CC24C4" w:rsidRPr="00913C39" w:rsidRDefault="00CC24C4" w:rsidP="00CC24C4">
      <w:pPr>
        <w:pStyle w:val="ConsPlusNonformat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913C39">
        <w:rPr>
          <w:rFonts w:ascii="Liberation Serif" w:hAnsi="Liberation Serif" w:cs="Liberation Serif"/>
          <w:sz w:val="24"/>
          <w:szCs w:val="24"/>
        </w:rPr>
        <w:t>Руководитель (заместитель руководителя)</w:t>
      </w:r>
    </w:p>
    <w:p w14:paraId="05221762" w14:textId="77777777" w:rsidR="00CC24C4" w:rsidRPr="00913C39" w:rsidRDefault="00CC24C4" w:rsidP="00CC24C4">
      <w:pPr>
        <w:pStyle w:val="ConsPlusNonformat"/>
        <w:tabs>
          <w:tab w:val="left" w:pos="5529"/>
          <w:tab w:val="left" w:pos="6946"/>
          <w:tab w:val="left" w:pos="8222"/>
        </w:tabs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913C39">
        <w:rPr>
          <w:rFonts w:ascii="Liberation Serif" w:eastAsia="Calibri" w:hAnsi="Liberation Serif" w:cs="Liberation Serif"/>
          <w:sz w:val="24"/>
          <w:szCs w:val="24"/>
        </w:rPr>
        <w:t>отраслевого органа - разработчика</w:t>
      </w:r>
      <w:r w:rsidRPr="00913C39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7E7ACD9" w14:textId="77777777" w:rsidR="00CC24C4" w:rsidRPr="00913C39" w:rsidRDefault="00CC24C4" w:rsidP="00CC24C4">
      <w:pPr>
        <w:pStyle w:val="ConsPlusNonformat"/>
        <w:tabs>
          <w:tab w:val="left" w:pos="5529"/>
          <w:tab w:val="left" w:pos="6946"/>
          <w:tab w:val="left" w:pos="8222"/>
        </w:tabs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913C39">
        <w:rPr>
          <w:rFonts w:ascii="Liberation Serif" w:hAnsi="Liberation Serif" w:cs="Liberation Serif"/>
          <w:sz w:val="24"/>
          <w:szCs w:val="24"/>
        </w:rPr>
        <w:t>_____________________________________</w:t>
      </w:r>
      <w:r w:rsidRPr="00913C39">
        <w:rPr>
          <w:rFonts w:ascii="Liberation Serif" w:hAnsi="Liberation Serif" w:cs="Liberation Serif"/>
          <w:sz w:val="24"/>
          <w:szCs w:val="24"/>
        </w:rPr>
        <w:tab/>
        <w:t>_________</w:t>
      </w:r>
      <w:r w:rsidRPr="00913C39">
        <w:rPr>
          <w:rFonts w:ascii="Liberation Serif" w:hAnsi="Liberation Serif" w:cs="Liberation Serif"/>
          <w:sz w:val="24"/>
          <w:szCs w:val="24"/>
        </w:rPr>
        <w:tab/>
        <w:t>_________________</w:t>
      </w:r>
    </w:p>
    <w:p w14:paraId="5DDEB4AE" w14:textId="77777777" w:rsidR="00CC24C4" w:rsidRPr="00913C39" w:rsidRDefault="00CC24C4" w:rsidP="00CC24C4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913C39">
        <w:rPr>
          <w:rFonts w:ascii="Liberation Serif" w:hAnsi="Liberation Serif" w:cs="Liberation Serif"/>
          <w:sz w:val="24"/>
          <w:szCs w:val="24"/>
        </w:rPr>
        <w:t>(инициалы, фамилия)</w:t>
      </w:r>
      <w:r w:rsidRPr="00913C39">
        <w:rPr>
          <w:rFonts w:ascii="Liberation Serif" w:hAnsi="Liberation Serif" w:cs="Liberation Serif"/>
          <w:sz w:val="24"/>
          <w:szCs w:val="24"/>
        </w:rPr>
        <w:tab/>
      </w:r>
      <w:r w:rsidRPr="00913C39">
        <w:rPr>
          <w:rFonts w:ascii="Liberation Serif" w:hAnsi="Liberation Serif" w:cs="Liberation Serif"/>
          <w:sz w:val="24"/>
          <w:szCs w:val="24"/>
        </w:rPr>
        <w:tab/>
      </w:r>
      <w:r w:rsidRPr="00913C39">
        <w:rPr>
          <w:rFonts w:ascii="Liberation Serif" w:hAnsi="Liberation Serif" w:cs="Liberation Serif"/>
          <w:sz w:val="24"/>
          <w:szCs w:val="24"/>
        </w:rPr>
        <w:tab/>
      </w:r>
      <w:r w:rsidRPr="00913C39">
        <w:rPr>
          <w:rFonts w:ascii="Liberation Serif" w:hAnsi="Liberation Serif" w:cs="Liberation Serif"/>
          <w:sz w:val="24"/>
          <w:szCs w:val="24"/>
        </w:rPr>
        <w:tab/>
      </w:r>
      <w:r w:rsidRPr="00913C39">
        <w:rPr>
          <w:rFonts w:ascii="Liberation Serif" w:hAnsi="Liberation Serif" w:cs="Liberation Serif"/>
          <w:sz w:val="24"/>
          <w:szCs w:val="24"/>
        </w:rPr>
        <w:tab/>
        <w:t xml:space="preserve">   Дата</w:t>
      </w:r>
      <w:r w:rsidRPr="00913C39">
        <w:rPr>
          <w:rFonts w:ascii="Liberation Serif" w:hAnsi="Liberation Serif" w:cs="Liberation Serif"/>
          <w:sz w:val="24"/>
          <w:szCs w:val="24"/>
        </w:rPr>
        <w:tab/>
        <w:t xml:space="preserve">          Подпись</w:t>
      </w:r>
    </w:p>
    <w:p w14:paraId="68F13E13" w14:textId="77777777" w:rsidR="003712CA" w:rsidRDefault="003712CA"/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6"/>
    <w:rsid w:val="003712CA"/>
    <w:rsid w:val="00CC24C4"/>
    <w:rsid w:val="00E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DA27-4982-4081-AE46-B84E8873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CC24C4"/>
    <w:rPr>
      <w:color w:val="0000FF"/>
      <w:u w:val="single"/>
    </w:rPr>
  </w:style>
  <w:style w:type="paragraph" w:customStyle="1" w:styleId="ConsPlusNormal">
    <w:name w:val="ConsPlusNormal"/>
    <w:rsid w:val="00CC2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2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2022-01-14T07:22:00Z</dcterms:created>
  <dcterms:modified xsi:type="dcterms:W3CDTF">2022-01-14T07:22:00Z</dcterms:modified>
</cp:coreProperties>
</file>