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B" w:rsidRPr="00EC1395" w:rsidRDefault="006203EB" w:rsidP="006203EB">
      <w:pPr>
        <w:pStyle w:val="a5"/>
        <w:ind w:left="-360" w:firstLine="36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EB" w:rsidRPr="0032348C" w:rsidRDefault="006203EB" w:rsidP="006203EB">
      <w:pPr>
        <w:pStyle w:val="a5"/>
        <w:ind w:left="-360" w:firstLine="360"/>
        <w:rPr>
          <w:sz w:val="10"/>
          <w:szCs w:val="10"/>
        </w:rPr>
      </w:pPr>
    </w:p>
    <w:p w:rsidR="006203EB" w:rsidRPr="009C3BE6" w:rsidRDefault="006203EB" w:rsidP="006203EB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:rsidR="006203EB" w:rsidRPr="009C3BE6" w:rsidRDefault="006203EB" w:rsidP="006203EB">
      <w:pPr>
        <w:pStyle w:val="a5"/>
        <w:tabs>
          <w:tab w:val="left" w:pos="1440"/>
        </w:tabs>
        <w:ind w:left="-360"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Арамильского городского округа</w:t>
      </w:r>
    </w:p>
    <w:p w:rsidR="006203EB" w:rsidRPr="009C3BE6" w:rsidRDefault="006203EB" w:rsidP="006203EB">
      <w:pPr>
        <w:pStyle w:val="a5"/>
        <w:tabs>
          <w:tab w:val="left" w:pos="1440"/>
        </w:tabs>
        <w:ind w:left="-360" w:firstLine="360"/>
        <w:rPr>
          <w:rFonts w:eastAsia="SimSun"/>
          <w:b w:val="0"/>
          <w:sz w:val="16"/>
          <w:szCs w:val="16"/>
        </w:rPr>
      </w:pPr>
    </w:p>
    <w:p w:rsidR="006203EB" w:rsidRPr="009C3BE6" w:rsidRDefault="006203EB" w:rsidP="006203EB">
      <w:pPr>
        <w:pStyle w:val="a5"/>
        <w:tabs>
          <w:tab w:val="left" w:pos="1440"/>
        </w:tabs>
        <w:ind w:left="-360"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 Арамиль, ул. 1 Мая, 12.</w:t>
      </w:r>
    </w:p>
    <w:p w:rsidR="006203EB" w:rsidRPr="009C3BE6" w:rsidRDefault="006203EB" w:rsidP="006203EB">
      <w:pPr>
        <w:pStyle w:val="a5"/>
        <w:ind w:left="-360"/>
        <w:rPr>
          <w:b w:val="0"/>
          <w:sz w:val="10"/>
          <w:szCs w:val="10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85-32-84, </w:t>
      </w:r>
      <w:hyperlink r:id="rId6" w:history="1">
        <w:r w:rsidRPr="009C3BE6">
          <w:rPr>
            <w:rStyle w:val="a7"/>
            <w:sz w:val="22"/>
            <w:lang w:val="en-US"/>
          </w:rPr>
          <w:t>ksp</w:t>
        </w:r>
        <w:r w:rsidRPr="009C3BE6">
          <w:rPr>
            <w:rStyle w:val="a7"/>
            <w:sz w:val="22"/>
          </w:rPr>
          <w:t>.а</w:t>
        </w:r>
        <w:r w:rsidRPr="009C3BE6">
          <w:rPr>
            <w:rStyle w:val="a7"/>
            <w:sz w:val="22"/>
            <w:lang w:val="en-US"/>
          </w:rPr>
          <w:t>ramil</w:t>
        </w:r>
        <w:r w:rsidRPr="009C3BE6">
          <w:rPr>
            <w:rStyle w:val="a7"/>
            <w:sz w:val="22"/>
          </w:rPr>
          <w:t>@</w:t>
        </w:r>
        <w:r w:rsidRPr="009C3BE6">
          <w:rPr>
            <w:rStyle w:val="a7"/>
            <w:sz w:val="22"/>
            <w:lang w:val="en-US"/>
          </w:rPr>
          <w:t>mail</w:t>
        </w:r>
        <w:r w:rsidRPr="009C3BE6">
          <w:rPr>
            <w:rStyle w:val="a7"/>
            <w:sz w:val="22"/>
          </w:rPr>
          <w:t>.</w:t>
        </w:r>
        <w:proofErr w:type="spellStart"/>
        <w:r w:rsidRPr="009C3BE6">
          <w:rPr>
            <w:rStyle w:val="a7"/>
            <w:sz w:val="22"/>
            <w:lang w:val="en-US"/>
          </w:rPr>
          <w:t>ru</w:t>
        </w:r>
        <w:proofErr w:type="spellEnd"/>
      </w:hyperlink>
    </w:p>
    <w:p w:rsidR="006203EB" w:rsidRPr="009C3BE6" w:rsidRDefault="006203EB" w:rsidP="006203EB">
      <w:pPr>
        <w:pStyle w:val="a5"/>
        <w:pBdr>
          <w:top w:val="thinThickThinSmallGap" w:sz="24" w:space="1" w:color="auto"/>
        </w:pBdr>
        <w:spacing w:line="360" w:lineRule="auto"/>
        <w:jc w:val="both"/>
        <w:rPr>
          <w:b w:val="0"/>
          <w:sz w:val="10"/>
          <w:szCs w:val="10"/>
        </w:rPr>
      </w:pPr>
    </w:p>
    <w:p w:rsidR="006203EB" w:rsidRDefault="006203EB" w:rsidP="006203EB">
      <w:pPr>
        <w:pStyle w:val="a4"/>
        <w:tabs>
          <w:tab w:val="left" w:pos="2324"/>
        </w:tabs>
        <w:jc w:val="center"/>
        <w:rPr>
          <w:b/>
          <w:sz w:val="28"/>
          <w:szCs w:val="28"/>
        </w:rPr>
      </w:pPr>
    </w:p>
    <w:p w:rsidR="00643751" w:rsidRDefault="006203EB" w:rsidP="0062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10B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DC611F">
        <w:rPr>
          <w:rFonts w:ascii="Times New Roman" w:hAnsi="Times New Roman"/>
          <w:b/>
          <w:sz w:val="28"/>
          <w:szCs w:val="28"/>
        </w:rPr>
        <w:t>№ 10</w:t>
      </w:r>
      <w:bookmarkStart w:id="0" w:name="_GoBack"/>
      <w:bookmarkEnd w:id="0"/>
    </w:p>
    <w:p w:rsidR="006203EB" w:rsidRDefault="006203EB" w:rsidP="0062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10B">
        <w:rPr>
          <w:rFonts w:ascii="Times New Roman" w:hAnsi="Times New Roman"/>
          <w:b/>
          <w:sz w:val="28"/>
          <w:szCs w:val="28"/>
        </w:rPr>
        <w:t xml:space="preserve">на проект </w:t>
      </w:r>
      <w:r w:rsidR="00643751">
        <w:rPr>
          <w:rFonts w:ascii="Times New Roman" w:hAnsi="Times New Roman"/>
          <w:b/>
          <w:sz w:val="28"/>
          <w:szCs w:val="28"/>
        </w:rPr>
        <w:t>п</w:t>
      </w:r>
      <w:r w:rsidRPr="0091010B">
        <w:rPr>
          <w:rFonts w:ascii="Times New Roman" w:hAnsi="Times New Roman"/>
          <w:b/>
          <w:sz w:val="28"/>
          <w:szCs w:val="28"/>
        </w:rPr>
        <w:t xml:space="preserve">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>Арамильского городского округа</w:t>
      </w:r>
      <w:r w:rsidRPr="0091010B">
        <w:rPr>
          <w:rFonts w:ascii="Times New Roman" w:hAnsi="Times New Roman"/>
          <w:b/>
          <w:sz w:val="28"/>
          <w:szCs w:val="28"/>
        </w:rPr>
        <w:t xml:space="preserve"> «О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91010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Арамильского городского округа </w:t>
      </w:r>
      <w:r w:rsidR="006437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24.03.2014 года № 96 «Об утверждении муниципальной программы «Управление муниципальными финансами </w:t>
      </w:r>
    </w:p>
    <w:p w:rsidR="006203EB" w:rsidRPr="0091010B" w:rsidRDefault="006203EB" w:rsidP="0062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Арамильского городского округа до 2020 года»</w:t>
      </w:r>
    </w:p>
    <w:p w:rsidR="006203EB" w:rsidRPr="0091010B" w:rsidRDefault="006203EB" w:rsidP="006203E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203EB" w:rsidRPr="005969C0" w:rsidRDefault="006203EB" w:rsidP="006203EB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969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596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1A528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5969C0">
        <w:rPr>
          <w:rFonts w:ascii="Times New Roman" w:hAnsi="Times New Roman"/>
          <w:sz w:val="28"/>
          <w:szCs w:val="28"/>
        </w:rPr>
        <w:t xml:space="preserve"> 2017 года</w:t>
      </w:r>
      <w:r w:rsidRPr="005969C0">
        <w:rPr>
          <w:rFonts w:ascii="Times New Roman" w:hAnsi="Times New Roman"/>
          <w:sz w:val="28"/>
          <w:szCs w:val="28"/>
        </w:rPr>
        <w:tab/>
      </w:r>
      <w:r w:rsidRPr="005969C0">
        <w:rPr>
          <w:rFonts w:ascii="Times New Roman" w:hAnsi="Times New Roman"/>
          <w:sz w:val="28"/>
          <w:szCs w:val="28"/>
        </w:rPr>
        <w:tab/>
      </w:r>
      <w:r w:rsidRPr="005969C0">
        <w:rPr>
          <w:rFonts w:ascii="Times New Roman" w:hAnsi="Times New Roman"/>
          <w:sz w:val="28"/>
          <w:szCs w:val="28"/>
        </w:rPr>
        <w:tab/>
      </w:r>
      <w:r w:rsidRPr="005969C0">
        <w:rPr>
          <w:rFonts w:ascii="Times New Roman" w:hAnsi="Times New Roman"/>
          <w:sz w:val="28"/>
          <w:szCs w:val="28"/>
        </w:rPr>
        <w:tab/>
      </w:r>
      <w:r w:rsidRPr="005969C0">
        <w:rPr>
          <w:rFonts w:ascii="Times New Roman" w:hAnsi="Times New Roman"/>
          <w:sz w:val="28"/>
          <w:szCs w:val="28"/>
        </w:rPr>
        <w:tab/>
      </w:r>
      <w:r w:rsidRPr="005969C0">
        <w:rPr>
          <w:rFonts w:ascii="Times New Roman" w:hAnsi="Times New Roman"/>
          <w:sz w:val="28"/>
          <w:szCs w:val="28"/>
        </w:rPr>
        <w:tab/>
      </w:r>
      <w:r w:rsidRPr="005969C0">
        <w:rPr>
          <w:rFonts w:ascii="Times New Roman" w:hAnsi="Times New Roman"/>
          <w:sz w:val="28"/>
          <w:szCs w:val="28"/>
        </w:rPr>
        <w:tab/>
        <w:t xml:space="preserve">             г. Арамиль</w:t>
      </w:r>
    </w:p>
    <w:p w:rsidR="006203EB" w:rsidRPr="0091010B" w:rsidRDefault="006203EB" w:rsidP="00620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3EB" w:rsidRPr="0091010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пункта 13 статьи 34.1</w:t>
      </w:r>
      <w:r w:rsidRPr="0091010B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Pr="009101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статьи 8</w:t>
      </w:r>
      <w:r w:rsidRPr="0091010B">
        <w:rPr>
          <w:rFonts w:ascii="Times New Roman" w:hAnsi="Times New Roman"/>
          <w:sz w:val="28"/>
          <w:szCs w:val="28"/>
        </w:rPr>
        <w:t xml:space="preserve"> «Положения о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палате Арамильского городского округа» </w:t>
      </w:r>
      <w:r w:rsidRPr="0091010B">
        <w:rPr>
          <w:rFonts w:ascii="Times New Roman" w:hAnsi="Times New Roman"/>
          <w:sz w:val="28"/>
          <w:szCs w:val="28"/>
        </w:rPr>
        <w:t xml:space="preserve">подготовлено экспертное заключение </w:t>
      </w:r>
      <w:r>
        <w:rPr>
          <w:rFonts w:ascii="Times New Roman" w:hAnsi="Times New Roman"/>
          <w:sz w:val="28"/>
          <w:szCs w:val="28"/>
        </w:rPr>
        <w:t xml:space="preserve"> на проект п</w:t>
      </w:r>
      <w:r w:rsidRPr="0091010B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Арамильского городского округа </w:t>
      </w:r>
      <w:r w:rsidRPr="0091010B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9101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Арамильского городского округа от 24.03.2014 года № 96 </w:t>
      </w:r>
      <w:r w:rsidRPr="009101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Арамильского городского округа до 2020 года».</w:t>
      </w:r>
    </w:p>
    <w:p w:rsidR="006203EB" w:rsidRPr="0091010B" w:rsidRDefault="006203EB" w:rsidP="0062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sz w:val="28"/>
          <w:szCs w:val="28"/>
        </w:rPr>
        <w:t xml:space="preserve">             </w:t>
      </w:r>
    </w:p>
    <w:p w:rsidR="006203EB" w:rsidRDefault="006203EB" w:rsidP="0062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Контрольно-счетную палату </w:t>
      </w:r>
      <w:r w:rsidR="001A528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1A528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2017 года от Финансового отдела Администрации Арамильского городского округа (исх. № 3</w:t>
      </w:r>
      <w:r w:rsidR="001A5281">
        <w:rPr>
          <w:rFonts w:ascii="Times New Roman" w:hAnsi="Times New Roman"/>
          <w:sz w:val="28"/>
          <w:szCs w:val="28"/>
        </w:rPr>
        <w:t>96 от 28.06.2017 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969C0">
        <w:rPr>
          <w:rFonts w:ascii="Times New Roman" w:hAnsi="Times New Roman"/>
          <w:sz w:val="28"/>
          <w:szCs w:val="28"/>
        </w:rPr>
        <w:t>для проведения экспертизы поступили следующие документы:</w:t>
      </w: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sz w:val="28"/>
          <w:szCs w:val="28"/>
        </w:rPr>
        <w:t xml:space="preserve">1. Проект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Арамильского городского округа </w:t>
      </w:r>
      <w:r w:rsidRPr="0091010B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9101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Арамильского городского округа от 24.03.2014 года № 96 </w:t>
      </w:r>
      <w:r w:rsidRPr="009101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Арамильского городского округа</w:t>
      </w:r>
      <w:r w:rsidRPr="0091010B">
        <w:rPr>
          <w:rFonts w:ascii="Times New Roman" w:hAnsi="Times New Roman"/>
          <w:sz w:val="28"/>
          <w:szCs w:val="28"/>
        </w:rPr>
        <w:t xml:space="preserve"> до 2020 года» на </w:t>
      </w:r>
      <w:r w:rsidR="001A528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листах;</w:t>
      </w: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402D">
        <w:rPr>
          <w:rFonts w:ascii="Times New Roman" w:hAnsi="Times New Roman"/>
          <w:sz w:val="28"/>
          <w:szCs w:val="28"/>
        </w:rPr>
        <w:t xml:space="preserve">Постановление Администрации Арамильского городского округа от 09.01.2017 года № 09  </w:t>
      </w:r>
      <w:r w:rsidR="0010402D" w:rsidRPr="0091010B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0402D">
        <w:rPr>
          <w:rFonts w:ascii="Times New Roman" w:hAnsi="Times New Roman"/>
          <w:sz w:val="28"/>
          <w:szCs w:val="28"/>
        </w:rPr>
        <w:t xml:space="preserve">и дополнений </w:t>
      </w:r>
      <w:r w:rsidR="0010402D" w:rsidRPr="0091010B">
        <w:rPr>
          <w:rFonts w:ascii="Times New Roman" w:hAnsi="Times New Roman"/>
          <w:sz w:val="28"/>
          <w:szCs w:val="28"/>
        </w:rPr>
        <w:t xml:space="preserve">в </w:t>
      </w:r>
      <w:r w:rsidR="0010402D">
        <w:rPr>
          <w:rFonts w:ascii="Times New Roman" w:hAnsi="Times New Roman"/>
          <w:sz w:val="28"/>
          <w:szCs w:val="28"/>
        </w:rPr>
        <w:t xml:space="preserve">постановление Администрации Арамильского городского округа от 24.03.2014 года № 96 </w:t>
      </w:r>
      <w:r w:rsidR="0010402D" w:rsidRPr="0091010B">
        <w:rPr>
          <w:rFonts w:ascii="Times New Roman" w:hAnsi="Times New Roman"/>
          <w:sz w:val="28"/>
          <w:szCs w:val="28"/>
        </w:rPr>
        <w:t>«</w:t>
      </w:r>
      <w:r w:rsidR="0010402D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Арамильского городского округа</w:t>
      </w:r>
      <w:r w:rsidR="0010402D" w:rsidRPr="0091010B">
        <w:rPr>
          <w:rFonts w:ascii="Times New Roman" w:hAnsi="Times New Roman"/>
          <w:sz w:val="28"/>
          <w:szCs w:val="28"/>
        </w:rPr>
        <w:t xml:space="preserve"> до 2020 года»</w:t>
      </w:r>
      <w:r w:rsidR="0010402D">
        <w:rPr>
          <w:rFonts w:ascii="Times New Roman" w:hAnsi="Times New Roman"/>
          <w:sz w:val="28"/>
          <w:szCs w:val="28"/>
        </w:rPr>
        <w:t xml:space="preserve"> </w:t>
      </w:r>
      <w:r w:rsidR="001A5281">
        <w:rPr>
          <w:rFonts w:ascii="Times New Roman" w:hAnsi="Times New Roman"/>
          <w:sz w:val="28"/>
          <w:szCs w:val="28"/>
        </w:rPr>
        <w:t>на 12 листах.</w:t>
      </w:r>
    </w:p>
    <w:p w:rsidR="006203EB" w:rsidRPr="0091010B" w:rsidRDefault="006203EB" w:rsidP="0062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b/>
          <w:sz w:val="28"/>
          <w:szCs w:val="28"/>
        </w:rPr>
        <w:lastRenderedPageBreak/>
        <w:t>Информационная база проверки:</w:t>
      </w: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Бюджетный кодекс Российской Федерации;</w:t>
      </w: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01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Думы Арамильского городского округа от 15.12.2016 года        № 7/1 «О бюджете Арамильского городского округа на 2017 год и плановый период 2018 и 2019 годов»;</w:t>
      </w:r>
    </w:p>
    <w:p w:rsidR="001A5281" w:rsidRDefault="006203EB" w:rsidP="001A52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281">
        <w:rPr>
          <w:rFonts w:ascii="Times New Roman" w:hAnsi="Times New Roman"/>
          <w:sz w:val="28"/>
          <w:szCs w:val="28"/>
        </w:rPr>
        <w:t>Решение Думы Арам</w:t>
      </w:r>
      <w:r w:rsidR="00C07D52">
        <w:rPr>
          <w:rFonts w:ascii="Times New Roman" w:hAnsi="Times New Roman"/>
          <w:sz w:val="28"/>
          <w:szCs w:val="28"/>
        </w:rPr>
        <w:t>ильского городского округа от 08</w:t>
      </w:r>
      <w:r w:rsidR="001A5281">
        <w:rPr>
          <w:rFonts w:ascii="Times New Roman" w:hAnsi="Times New Roman"/>
          <w:sz w:val="28"/>
          <w:szCs w:val="28"/>
        </w:rPr>
        <w:t>.0</w:t>
      </w:r>
      <w:r w:rsidR="00C07D52">
        <w:rPr>
          <w:rFonts w:ascii="Times New Roman" w:hAnsi="Times New Roman"/>
          <w:sz w:val="28"/>
          <w:szCs w:val="28"/>
        </w:rPr>
        <w:t>6</w:t>
      </w:r>
      <w:r w:rsidR="001A5281">
        <w:rPr>
          <w:rFonts w:ascii="Times New Roman" w:hAnsi="Times New Roman"/>
          <w:sz w:val="28"/>
          <w:szCs w:val="28"/>
        </w:rPr>
        <w:t>.2017 года        № 1</w:t>
      </w:r>
      <w:r w:rsidR="00C07D52">
        <w:rPr>
          <w:rFonts w:ascii="Times New Roman" w:hAnsi="Times New Roman"/>
          <w:sz w:val="28"/>
          <w:szCs w:val="28"/>
        </w:rPr>
        <w:t>8</w:t>
      </w:r>
      <w:r w:rsidR="001A5281">
        <w:rPr>
          <w:rFonts w:ascii="Times New Roman" w:hAnsi="Times New Roman"/>
          <w:sz w:val="28"/>
          <w:szCs w:val="28"/>
        </w:rPr>
        <w:t>/</w:t>
      </w:r>
      <w:r w:rsidR="00C07D52">
        <w:rPr>
          <w:rFonts w:ascii="Times New Roman" w:hAnsi="Times New Roman"/>
          <w:sz w:val="28"/>
          <w:szCs w:val="28"/>
        </w:rPr>
        <w:t>4</w:t>
      </w:r>
      <w:r w:rsidR="001A5281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Думы Арамильского городского округа от 15 декабря 2016 года № 7/1 «О бюджете Арамильского городского округа на 2017 год и плановый период 2018 и 2019 годов»;</w:t>
      </w: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281">
        <w:rPr>
          <w:rFonts w:ascii="Times New Roman" w:hAnsi="Times New Roman"/>
          <w:sz w:val="28"/>
          <w:szCs w:val="28"/>
        </w:rPr>
        <w:t xml:space="preserve">Постановление Администрации Арамильского городского округа от 09.01.2017 года № 09  </w:t>
      </w:r>
      <w:r w:rsidR="001A5281" w:rsidRPr="0091010B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A5281">
        <w:rPr>
          <w:rFonts w:ascii="Times New Roman" w:hAnsi="Times New Roman"/>
          <w:sz w:val="28"/>
          <w:szCs w:val="28"/>
        </w:rPr>
        <w:t xml:space="preserve">и дополнений </w:t>
      </w:r>
      <w:r w:rsidR="001A5281" w:rsidRPr="0091010B">
        <w:rPr>
          <w:rFonts w:ascii="Times New Roman" w:hAnsi="Times New Roman"/>
          <w:sz w:val="28"/>
          <w:szCs w:val="28"/>
        </w:rPr>
        <w:t xml:space="preserve">в </w:t>
      </w:r>
      <w:r w:rsidR="001A5281">
        <w:rPr>
          <w:rFonts w:ascii="Times New Roman" w:hAnsi="Times New Roman"/>
          <w:sz w:val="28"/>
          <w:szCs w:val="28"/>
        </w:rPr>
        <w:t xml:space="preserve">постановление Администрации Арамильского городского округа от 24.03.2014 года № 96 </w:t>
      </w:r>
      <w:r w:rsidR="001A5281" w:rsidRPr="0091010B">
        <w:rPr>
          <w:rFonts w:ascii="Times New Roman" w:hAnsi="Times New Roman"/>
          <w:sz w:val="28"/>
          <w:szCs w:val="28"/>
        </w:rPr>
        <w:t>«</w:t>
      </w:r>
      <w:r w:rsidR="001A528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Арамильского городского округа</w:t>
      </w:r>
      <w:r w:rsidR="001A5281" w:rsidRPr="0091010B">
        <w:rPr>
          <w:rFonts w:ascii="Times New Roman" w:hAnsi="Times New Roman"/>
          <w:sz w:val="28"/>
          <w:szCs w:val="28"/>
        </w:rPr>
        <w:t xml:space="preserve"> до 2020 года»</w:t>
      </w:r>
      <w:r w:rsidR="001A5281">
        <w:rPr>
          <w:rFonts w:ascii="Times New Roman" w:hAnsi="Times New Roman"/>
          <w:sz w:val="28"/>
          <w:szCs w:val="28"/>
        </w:rPr>
        <w:t>.</w:t>
      </w:r>
    </w:p>
    <w:p w:rsidR="006203EB" w:rsidRDefault="006203EB" w:rsidP="00620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3EB" w:rsidRDefault="006203EB" w:rsidP="006203E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0FAA">
        <w:rPr>
          <w:rFonts w:ascii="Times New Roman" w:hAnsi="Times New Roman"/>
          <w:b/>
          <w:sz w:val="28"/>
          <w:szCs w:val="28"/>
        </w:rPr>
        <w:t>Рассмотрев Проект постановления Контрольно</w:t>
      </w:r>
      <w:r>
        <w:rPr>
          <w:rFonts w:ascii="Times New Roman" w:hAnsi="Times New Roman"/>
          <w:b/>
          <w:sz w:val="28"/>
          <w:szCs w:val="28"/>
        </w:rPr>
        <w:t>-счетная палата Арамильского городского округа</w:t>
      </w:r>
      <w:r w:rsidRPr="00A00FAA">
        <w:rPr>
          <w:rFonts w:ascii="Times New Roman" w:hAnsi="Times New Roman"/>
          <w:b/>
          <w:sz w:val="28"/>
          <w:szCs w:val="28"/>
        </w:rPr>
        <w:t xml:space="preserve"> отмечает следующее</w:t>
      </w:r>
      <w:proofErr w:type="gramEnd"/>
      <w:r w:rsidRPr="00A00FAA">
        <w:rPr>
          <w:rFonts w:ascii="Times New Roman" w:hAnsi="Times New Roman"/>
          <w:b/>
          <w:sz w:val="28"/>
          <w:szCs w:val="28"/>
        </w:rPr>
        <w:t>: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010B">
        <w:rPr>
          <w:rFonts w:ascii="Times New Roman" w:hAnsi="Times New Roman"/>
          <w:sz w:val="28"/>
          <w:szCs w:val="28"/>
        </w:rPr>
        <w:t xml:space="preserve">Срок реализации муниципальной программы рассчитан на </w:t>
      </w:r>
      <w:r>
        <w:rPr>
          <w:rFonts w:ascii="Times New Roman" w:hAnsi="Times New Roman"/>
          <w:sz w:val="28"/>
          <w:szCs w:val="28"/>
        </w:rPr>
        <w:t>шесть</w:t>
      </w:r>
      <w:r w:rsidRPr="00910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91010B">
        <w:rPr>
          <w:rFonts w:ascii="Times New Roman" w:hAnsi="Times New Roman"/>
          <w:sz w:val="28"/>
          <w:szCs w:val="28"/>
        </w:rPr>
        <w:t>, на период с 201</w:t>
      </w:r>
      <w:r>
        <w:rPr>
          <w:rFonts w:ascii="Times New Roman" w:hAnsi="Times New Roman"/>
          <w:sz w:val="28"/>
          <w:szCs w:val="28"/>
        </w:rPr>
        <w:t>4</w:t>
      </w:r>
      <w:r w:rsidRPr="0091010B">
        <w:rPr>
          <w:rFonts w:ascii="Times New Roman" w:hAnsi="Times New Roman"/>
          <w:sz w:val="28"/>
          <w:szCs w:val="28"/>
        </w:rPr>
        <w:t xml:space="preserve"> по 2020 годы.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64223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предлагается увеличить на </w:t>
      </w:r>
      <w:r>
        <w:rPr>
          <w:rFonts w:ascii="Times New Roman" w:hAnsi="Times New Roman"/>
          <w:sz w:val="28"/>
          <w:szCs w:val="28"/>
        </w:rPr>
        <w:t>270,1</w:t>
      </w:r>
      <w:r w:rsidRPr="00C642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D3D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7D3D">
        <w:rPr>
          <w:rFonts w:ascii="Times New Roman" w:hAnsi="Times New Roman"/>
          <w:bCs/>
          <w:sz w:val="28"/>
          <w:szCs w:val="28"/>
        </w:rPr>
        <w:t>рублей</w:t>
      </w:r>
      <w:r w:rsidRPr="00C64223">
        <w:rPr>
          <w:rFonts w:ascii="Times New Roman" w:hAnsi="Times New Roman"/>
          <w:bCs/>
          <w:sz w:val="28"/>
          <w:szCs w:val="28"/>
        </w:rPr>
        <w:t>.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4223">
        <w:rPr>
          <w:rFonts w:ascii="Times New Roman" w:hAnsi="Times New Roman"/>
          <w:sz w:val="28"/>
          <w:szCs w:val="28"/>
        </w:rPr>
        <w:t>бъем бюджетного финансирования для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предлагается утвердить в сумме 106 980,5 </w:t>
      </w:r>
      <w:r w:rsidRPr="00A17D3D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4223">
        <w:rPr>
          <w:rFonts w:ascii="Times New Roman" w:hAnsi="Times New Roman"/>
          <w:sz w:val="28"/>
          <w:szCs w:val="28"/>
        </w:rPr>
        <w:t xml:space="preserve">бъем бюджетного финансирования для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на 2017 – 2020 годы </w:t>
      </w:r>
      <w:r w:rsidRPr="00C64223">
        <w:rPr>
          <w:rFonts w:ascii="Times New Roman" w:hAnsi="Times New Roman"/>
          <w:sz w:val="28"/>
          <w:szCs w:val="28"/>
        </w:rPr>
        <w:t>представлен в таблице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223">
        <w:rPr>
          <w:rFonts w:ascii="Times New Roman" w:hAnsi="Times New Roman"/>
          <w:sz w:val="28"/>
          <w:szCs w:val="28"/>
        </w:rPr>
        <w:t>1.</w:t>
      </w:r>
    </w:p>
    <w:p w:rsidR="0010402D" w:rsidRDefault="0010402D" w:rsidP="0010402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0402D" w:rsidRPr="00A17D3D" w:rsidRDefault="0010402D" w:rsidP="0010402D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10"/>
        <w:gridCol w:w="1016"/>
        <w:gridCol w:w="816"/>
        <w:gridCol w:w="916"/>
        <w:gridCol w:w="916"/>
        <w:gridCol w:w="916"/>
        <w:gridCol w:w="916"/>
        <w:gridCol w:w="916"/>
        <w:gridCol w:w="916"/>
      </w:tblGrid>
      <w:tr w:rsidR="0010402D" w:rsidTr="0010402D">
        <w:tc>
          <w:tcPr>
            <w:tcW w:w="567" w:type="dxa"/>
            <w:vMerge w:val="restart"/>
          </w:tcPr>
          <w:p w:rsidR="0010402D" w:rsidRPr="00A17D3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D3D">
              <w:rPr>
                <w:rFonts w:ascii="Times New Roman" w:hAnsi="Times New Roman"/>
              </w:rPr>
              <w:t xml:space="preserve">№ </w:t>
            </w:r>
            <w:proofErr w:type="gramStart"/>
            <w:r w:rsidRPr="00A17D3D">
              <w:rPr>
                <w:rFonts w:ascii="Times New Roman" w:hAnsi="Times New Roman"/>
              </w:rPr>
              <w:t>п</w:t>
            </w:r>
            <w:proofErr w:type="gramEnd"/>
            <w:r w:rsidRPr="00A17D3D">
              <w:rPr>
                <w:rFonts w:ascii="Times New Roman" w:hAnsi="Times New Roman"/>
              </w:rPr>
              <w:t>/п</w:t>
            </w:r>
          </w:p>
        </w:tc>
        <w:tc>
          <w:tcPr>
            <w:tcW w:w="2611" w:type="dxa"/>
            <w:vMerge w:val="restart"/>
          </w:tcPr>
          <w:p w:rsidR="0010402D" w:rsidRPr="00A17D3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328" w:type="dxa"/>
            <w:gridSpan w:val="8"/>
          </w:tcPr>
          <w:p w:rsidR="0010402D" w:rsidRPr="00A17D3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Объёмы расходов на выполнение мероприятия за счёт всех источников ресурсного обеспечения</w:t>
            </w:r>
          </w:p>
        </w:tc>
      </w:tr>
      <w:tr w:rsidR="0010402D" w:rsidTr="0010402D">
        <w:tc>
          <w:tcPr>
            <w:tcW w:w="567" w:type="dxa"/>
            <w:vMerge/>
          </w:tcPr>
          <w:p w:rsidR="0010402D" w:rsidRPr="00A17D3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1" w:type="dxa"/>
            <w:vMerge/>
          </w:tcPr>
          <w:p w:rsidR="0010402D" w:rsidRPr="00A17D3D" w:rsidRDefault="0010402D" w:rsidP="0089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  <w:vAlign w:val="center"/>
          </w:tcPr>
          <w:p w:rsid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16" w:type="dxa"/>
            <w:vAlign w:val="center"/>
          </w:tcPr>
          <w:p w:rsid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916" w:type="dxa"/>
            <w:vAlign w:val="center"/>
          </w:tcPr>
          <w:p w:rsid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916" w:type="dxa"/>
            <w:vAlign w:val="center"/>
          </w:tcPr>
          <w:p w:rsidR="0010402D" w:rsidRPr="00A17D3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916" w:type="dxa"/>
            <w:vAlign w:val="center"/>
          </w:tcPr>
          <w:p w:rsidR="0010402D" w:rsidRPr="00A17D3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16" w:type="dxa"/>
            <w:vAlign w:val="center"/>
          </w:tcPr>
          <w:p w:rsidR="0010402D" w:rsidRPr="00A17D3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16" w:type="dxa"/>
            <w:vAlign w:val="center"/>
          </w:tcPr>
          <w:p w:rsidR="0010402D" w:rsidRPr="00A17D3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16" w:type="dxa"/>
            <w:vAlign w:val="center"/>
          </w:tcPr>
          <w:p w:rsidR="0010402D" w:rsidRPr="00A17D3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10402D" w:rsidTr="0010402D">
        <w:tc>
          <w:tcPr>
            <w:tcW w:w="567" w:type="dxa"/>
          </w:tcPr>
          <w:p w:rsidR="0010402D" w:rsidRPr="00A17D3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1" w:type="dxa"/>
          </w:tcPr>
          <w:p w:rsidR="0010402D" w:rsidRPr="00A17D3D" w:rsidRDefault="0010402D" w:rsidP="008943A9">
            <w:pPr>
              <w:spacing w:after="0" w:line="240" w:lineRule="auto"/>
              <w:rPr>
                <w:rFonts w:ascii="Times New Roman" w:hAnsi="Times New Roman"/>
              </w:rPr>
            </w:pPr>
            <w:r w:rsidRPr="00FB1989">
              <w:rPr>
                <w:rFonts w:ascii="Times New Roman" w:hAnsi="Times New Roman"/>
                <w:b/>
              </w:rPr>
              <w:t>Всего по муниципальной программе,</w:t>
            </w:r>
            <w:r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0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106 980,5</w:t>
            </w:r>
          </w:p>
        </w:tc>
        <w:tc>
          <w:tcPr>
            <w:tcW w:w="8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6 058,9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15 419,6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16 834,8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15 547,1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15 777,0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15 677,0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104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0402D">
              <w:rPr>
                <w:rFonts w:ascii="Times New Roman" w:hAnsi="Times New Roman"/>
                <w:b/>
                <w:sz w:val="20"/>
              </w:rPr>
              <w:t>21 666,1</w:t>
            </w:r>
          </w:p>
        </w:tc>
      </w:tr>
      <w:tr w:rsidR="0010402D" w:rsidTr="005B67CC">
        <w:tc>
          <w:tcPr>
            <w:tcW w:w="567" w:type="dxa"/>
          </w:tcPr>
          <w:p w:rsidR="0010402D" w:rsidRPr="00A17D3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1" w:type="dxa"/>
          </w:tcPr>
          <w:p w:rsidR="0010402D" w:rsidRPr="00A17D3D" w:rsidRDefault="0010402D" w:rsidP="00894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106 980,5</w:t>
            </w:r>
          </w:p>
        </w:tc>
        <w:tc>
          <w:tcPr>
            <w:tcW w:w="8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6 058,9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15 419,6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16 834,8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15 547,1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15 777,0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15 677,0</w:t>
            </w:r>
          </w:p>
        </w:tc>
        <w:tc>
          <w:tcPr>
            <w:tcW w:w="916" w:type="dxa"/>
            <w:vAlign w:val="center"/>
          </w:tcPr>
          <w:p w:rsidR="0010402D" w:rsidRPr="0010402D" w:rsidRDefault="0010402D" w:rsidP="00894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0402D">
              <w:rPr>
                <w:rFonts w:ascii="Times New Roman" w:hAnsi="Times New Roman"/>
                <w:sz w:val="20"/>
              </w:rPr>
              <w:t>21 666,1</w:t>
            </w:r>
          </w:p>
        </w:tc>
      </w:tr>
    </w:tbl>
    <w:p w:rsidR="0010402D" w:rsidRPr="00C64223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989">
        <w:rPr>
          <w:rFonts w:ascii="Times New Roman" w:hAnsi="Times New Roman"/>
          <w:sz w:val="28"/>
          <w:szCs w:val="28"/>
        </w:rPr>
        <w:t xml:space="preserve">2. В ходе </w:t>
      </w:r>
      <w:r>
        <w:rPr>
          <w:rFonts w:ascii="Times New Roman" w:hAnsi="Times New Roman"/>
          <w:sz w:val="28"/>
          <w:szCs w:val="28"/>
        </w:rPr>
        <w:t>проведения финансово-экономической экспертизы Приложения № 2</w:t>
      </w:r>
      <w:r w:rsidRPr="00FB1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FB1989">
        <w:rPr>
          <w:rFonts w:ascii="Times New Roman" w:hAnsi="Times New Roman"/>
          <w:sz w:val="28"/>
          <w:szCs w:val="28"/>
        </w:rPr>
        <w:t xml:space="preserve">лан мероприятий по </w:t>
      </w:r>
      <w:r>
        <w:rPr>
          <w:rFonts w:ascii="Times New Roman" w:hAnsi="Times New Roman"/>
          <w:sz w:val="28"/>
          <w:szCs w:val="28"/>
        </w:rPr>
        <w:t xml:space="preserve">выполнению </w:t>
      </w:r>
      <w:r w:rsidRPr="00FB19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Арамильского городского округа до 2020 года» </w:t>
      </w:r>
      <w:r w:rsidRPr="00FB1989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62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B1989">
        <w:rPr>
          <w:rFonts w:ascii="Times New Roman" w:hAnsi="Times New Roman"/>
          <w:sz w:val="28"/>
          <w:szCs w:val="28"/>
        </w:rPr>
        <w:t>бъем</w:t>
      </w:r>
      <w:r w:rsidR="00376162">
        <w:rPr>
          <w:rFonts w:ascii="Times New Roman" w:hAnsi="Times New Roman"/>
          <w:sz w:val="28"/>
          <w:szCs w:val="28"/>
        </w:rPr>
        <w:t>а</w:t>
      </w:r>
      <w:r w:rsidRPr="00FB1989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376162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62">
        <w:rPr>
          <w:rFonts w:ascii="Times New Roman" w:hAnsi="Times New Roman"/>
          <w:sz w:val="28"/>
          <w:szCs w:val="28"/>
        </w:rPr>
        <w:t>в размере</w:t>
      </w:r>
      <w:r w:rsidRPr="00FB1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270,1</w:t>
      </w:r>
      <w:r w:rsidRPr="00FB1989">
        <w:rPr>
          <w:rFonts w:ascii="Times New Roman" w:hAnsi="Times New Roman"/>
          <w:sz w:val="28"/>
          <w:szCs w:val="28"/>
        </w:rPr>
        <w:t xml:space="preserve"> тыс. руб</w:t>
      </w:r>
      <w:r w:rsidR="00376162">
        <w:rPr>
          <w:rFonts w:ascii="Times New Roman" w:hAnsi="Times New Roman"/>
          <w:sz w:val="28"/>
          <w:szCs w:val="28"/>
        </w:rPr>
        <w:t>лей</w:t>
      </w:r>
      <w:r w:rsidRPr="00FB1989">
        <w:rPr>
          <w:rFonts w:ascii="Times New Roman" w:hAnsi="Times New Roman"/>
          <w:sz w:val="28"/>
          <w:szCs w:val="28"/>
        </w:rPr>
        <w:t xml:space="preserve">. </w:t>
      </w:r>
    </w:p>
    <w:p w:rsidR="0010402D" w:rsidRPr="00C4410D" w:rsidRDefault="00376162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В</w:t>
      </w:r>
      <w:r w:rsidR="0010402D" w:rsidRPr="00C4410D">
        <w:rPr>
          <w:rFonts w:ascii="Times New Roman" w:hAnsi="Times New Roman"/>
          <w:sz w:val="28"/>
          <w:szCs w:val="28"/>
        </w:rPr>
        <w:t xml:space="preserve">несены изменения в подпрограмму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0402D" w:rsidRPr="00C4410D">
        <w:rPr>
          <w:rFonts w:ascii="Times New Roman" w:hAnsi="Times New Roman"/>
          <w:sz w:val="28"/>
          <w:szCs w:val="28"/>
        </w:rPr>
        <w:t>1 «</w:t>
      </w:r>
      <w:r w:rsidR="0010402D">
        <w:rPr>
          <w:rFonts w:ascii="Times New Roman" w:hAnsi="Times New Roman"/>
          <w:sz w:val="28"/>
          <w:szCs w:val="28"/>
        </w:rPr>
        <w:t>Управление бюджетным процессом и его совершенствование</w:t>
      </w:r>
      <w:r w:rsidR="0010402D" w:rsidRPr="00C441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именно</w:t>
      </w:r>
      <w:r w:rsidR="0010402D" w:rsidRPr="00C4410D">
        <w:rPr>
          <w:rFonts w:ascii="Times New Roman" w:hAnsi="Times New Roman"/>
          <w:sz w:val="28"/>
          <w:szCs w:val="28"/>
        </w:rPr>
        <w:t>: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9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</w:t>
      </w:r>
      <w:r w:rsidR="003761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13 «Исполнение обязательств по обслуживанию муниципального долга Арамильского городского округа»,</w:t>
      </w:r>
      <w:r w:rsidRPr="00FB1989">
        <w:rPr>
          <w:rFonts w:ascii="Times New Roman" w:hAnsi="Times New Roman"/>
          <w:sz w:val="28"/>
          <w:szCs w:val="28"/>
        </w:rPr>
        <w:t xml:space="preserve"> объем расходов </w:t>
      </w:r>
      <w:r>
        <w:rPr>
          <w:rFonts w:ascii="Times New Roman" w:hAnsi="Times New Roman"/>
          <w:sz w:val="28"/>
          <w:szCs w:val="28"/>
        </w:rPr>
        <w:t>увеличен</w:t>
      </w:r>
      <w:r w:rsidRPr="00FB198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6162">
        <w:rPr>
          <w:rFonts w:ascii="Times New Roman" w:hAnsi="Times New Roman"/>
          <w:sz w:val="28"/>
          <w:szCs w:val="28"/>
        </w:rPr>
        <w:t>190,1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FB1989">
        <w:rPr>
          <w:rFonts w:ascii="Times New Roman" w:hAnsi="Times New Roman"/>
          <w:sz w:val="28"/>
          <w:szCs w:val="28"/>
        </w:rPr>
        <w:t xml:space="preserve"> </w:t>
      </w:r>
    </w:p>
    <w:p w:rsidR="00376162" w:rsidRPr="004B6DAB" w:rsidRDefault="00376162" w:rsidP="003761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C64223">
        <w:rPr>
          <w:rFonts w:ascii="Times New Roman" w:hAnsi="Times New Roman"/>
          <w:sz w:val="28"/>
          <w:szCs w:val="28"/>
        </w:rPr>
        <w:t xml:space="preserve">бюджетного финансирования для реализации </w:t>
      </w:r>
      <w:r w:rsidRPr="00C4410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C44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410D">
        <w:rPr>
          <w:rFonts w:ascii="Times New Roman" w:hAnsi="Times New Roman"/>
          <w:sz w:val="28"/>
          <w:szCs w:val="28"/>
        </w:rPr>
        <w:t>1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 бюджетным процессом и его совершенствование</w:t>
      </w:r>
      <w:r w:rsidRPr="00C4410D">
        <w:rPr>
          <w:rFonts w:ascii="Times New Roman" w:hAnsi="Times New Roman"/>
          <w:sz w:val="28"/>
          <w:szCs w:val="28"/>
        </w:rPr>
        <w:t>»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предлагается утвердить в общей сумме 63 394,5 тыс. </w:t>
      </w:r>
      <w:r w:rsidRPr="00A17D3D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/>
          <w:bCs/>
          <w:sz w:val="28"/>
          <w:szCs w:val="28"/>
        </w:rPr>
        <w:t xml:space="preserve">., </w:t>
      </w:r>
      <w:r w:rsidRPr="004B6DAB">
        <w:rPr>
          <w:rFonts w:ascii="Times New Roman" w:hAnsi="Times New Roman"/>
          <w:bCs/>
          <w:sz w:val="28"/>
          <w:szCs w:val="28"/>
        </w:rPr>
        <w:t>в том числе на 2017 год</w:t>
      </w:r>
      <w:r>
        <w:rPr>
          <w:rFonts w:ascii="Times New Roman" w:hAnsi="Times New Roman"/>
          <w:bCs/>
          <w:sz w:val="28"/>
          <w:szCs w:val="28"/>
        </w:rPr>
        <w:t xml:space="preserve"> – 9 520,1</w:t>
      </w:r>
      <w:r w:rsidRPr="004B6DAB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376162" w:rsidRPr="00C4410D" w:rsidRDefault="00376162" w:rsidP="003761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</w:t>
      </w:r>
      <w:r w:rsidRPr="00C4410D">
        <w:rPr>
          <w:rFonts w:ascii="Times New Roman" w:hAnsi="Times New Roman"/>
          <w:sz w:val="28"/>
          <w:szCs w:val="28"/>
        </w:rPr>
        <w:t xml:space="preserve">несены изменения в </w:t>
      </w:r>
      <w:r>
        <w:rPr>
          <w:rFonts w:ascii="Times New Roman" w:hAnsi="Times New Roman"/>
          <w:sz w:val="28"/>
          <w:szCs w:val="28"/>
        </w:rPr>
        <w:t>подпрограмму № 2</w:t>
      </w:r>
      <w:r w:rsidRPr="00C441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Совершенствование информационной системы управления финансами</w:t>
      </w:r>
      <w:r w:rsidRPr="00C441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именно</w:t>
      </w:r>
      <w:r w:rsidRPr="00C4410D">
        <w:rPr>
          <w:rFonts w:ascii="Times New Roman" w:hAnsi="Times New Roman"/>
          <w:sz w:val="28"/>
          <w:szCs w:val="28"/>
        </w:rPr>
        <w:t>:</w:t>
      </w:r>
    </w:p>
    <w:p w:rsidR="00376162" w:rsidRDefault="00376162" w:rsidP="003761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19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мероприятие 1 «Сопровождение программных комплексов»,</w:t>
      </w:r>
      <w:r w:rsidRPr="00FB1989">
        <w:rPr>
          <w:rFonts w:ascii="Times New Roman" w:hAnsi="Times New Roman"/>
          <w:sz w:val="28"/>
          <w:szCs w:val="28"/>
        </w:rPr>
        <w:t xml:space="preserve"> объем расходов </w:t>
      </w:r>
      <w:r>
        <w:rPr>
          <w:rFonts w:ascii="Times New Roman" w:hAnsi="Times New Roman"/>
          <w:sz w:val="28"/>
          <w:szCs w:val="28"/>
        </w:rPr>
        <w:t>увеличен</w:t>
      </w:r>
      <w:r w:rsidRPr="00FB198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80,0 тыс. рублей.</w:t>
      </w:r>
      <w:r w:rsidRPr="00FB1989">
        <w:rPr>
          <w:rFonts w:ascii="Times New Roman" w:hAnsi="Times New Roman"/>
          <w:sz w:val="28"/>
          <w:szCs w:val="28"/>
        </w:rPr>
        <w:t xml:space="preserve"> </w:t>
      </w:r>
    </w:p>
    <w:p w:rsidR="00376162" w:rsidRPr="004B6DAB" w:rsidRDefault="00376162" w:rsidP="003761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C64223">
        <w:rPr>
          <w:rFonts w:ascii="Times New Roman" w:hAnsi="Times New Roman"/>
          <w:sz w:val="28"/>
          <w:szCs w:val="28"/>
        </w:rPr>
        <w:t xml:space="preserve">бюджетного финансирования для реализации </w:t>
      </w:r>
      <w:r w:rsidRPr="00C4410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C44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 w:rsidRPr="00C441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Совершенствование информационной системы управления финансами</w:t>
      </w:r>
      <w:r w:rsidRPr="00C4410D">
        <w:rPr>
          <w:rFonts w:ascii="Times New Roman" w:hAnsi="Times New Roman"/>
          <w:sz w:val="28"/>
          <w:szCs w:val="28"/>
        </w:rPr>
        <w:t>»</w:t>
      </w:r>
      <w:r w:rsidRPr="00376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предлагается утвердить в общей сумме 6 159,9 тыс. </w:t>
      </w:r>
      <w:r w:rsidRPr="00A17D3D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/>
          <w:bCs/>
          <w:sz w:val="28"/>
          <w:szCs w:val="28"/>
        </w:rPr>
        <w:t xml:space="preserve">., </w:t>
      </w:r>
      <w:r w:rsidRPr="004B6DAB">
        <w:rPr>
          <w:rFonts w:ascii="Times New Roman" w:hAnsi="Times New Roman"/>
          <w:bCs/>
          <w:sz w:val="28"/>
          <w:szCs w:val="28"/>
        </w:rPr>
        <w:t>в том числе на 2017 год</w:t>
      </w:r>
      <w:r>
        <w:rPr>
          <w:rFonts w:ascii="Times New Roman" w:hAnsi="Times New Roman"/>
          <w:bCs/>
          <w:sz w:val="28"/>
          <w:szCs w:val="28"/>
        </w:rPr>
        <w:t xml:space="preserve"> – 992,0</w:t>
      </w:r>
      <w:r w:rsidRPr="004B6DAB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410D">
        <w:rPr>
          <w:rFonts w:ascii="Times New Roman" w:hAnsi="Times New Roman"/>
          <w:sz w:val="28"/>
          <w:szCs w:val="28"/>
        </w:rPr>
        <w:t>В соответствии с пунктом 2 статьи 179 Бюджетного Кодекса Российской Федерации 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376162" w:rsidRPr="007864E8" w:rsidRDefault="00376162" w:rsidP="0037616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10D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5</w:t>
      </w:r>
      <w:r w:rsidRPr="00C441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муниципальных программ, предусмотренных к финансированию за счет средств бюджета Арамильского городского округа в 2017 году</w:t>
      </w:r>
      <w:r w:rsidRPr="00C441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 р</w:t>
      </w:r>
      <w:r w:rsidRPr="00C4410D">
        <w:rPr>
          <w:rFonts w:ascii="Times New Roman" w:hAnsi="Times New Roman"/>
          <w:sz w:val="28"/>
          <w:szCs w:val="28"/>
        </w:rPr>
        <w:t xml:space="preserve">ешению Думы </w:t>
      </w:r>
      <w:r>
        <w:rPr>
          <w:rFonts w:ascii="Times New Roman" w:hAnsi="Times New Roman"/>
          <w:sz w:val="28"/>
          <w:szCs w:val="28"/>
        </w:rPr>
        <w:t>от 08 июня 2017 года № 18/4 «О внесении изменений и дополнений в Решение Думы Арамильского городского округа от 15 декабря 2017 года № 7/1</w:t>
      </w:r>
      <w:r w:rsidRPr="00C44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бюджете Арамильского городского округа на 2017 год и плановый период 2018 и</w:t>
      </w:r>
      <w:proofErr w:type="gramEnd"/>
      <w:r>
        <w:rPr>
          <w:rFonts w:ascii="Times New Roman" w:hAnsi="Times New Roman"/>
          <w:sz w:val="28"/>
          <w:szCs w:val="28"/>
        </w:rPr>
        <w:t xml:space="preserve"> 2019 годов» на реализацию данной программы </w:t>
      </w:r>
      <w:r w:rsidRPr="00C4410D">
        <w:rPr>
          <w:rFonts w:ascii="Times New Roman" w:hAnsi="Times New Roman"/>
          <w:sz w:val="28"/>
          <w:szCs w:val="28"/>
        </w:rPr>
        <w:t>предусмотрены бюджетные ассигнования на 201</w:t>
      </w:r>
      <w:r>
        <w:rPr>
          <w:rFonts w:ascii="Times New Roman" w:hAnsi="Times New Roman"/>
          <w:sz w:val="28"/>
          <w:szCs w:val="28"/>
        </w:rPr>
        <w:t>7</w:t>
      </w:r>
      <w:r w:rsidRPr="00C4410D">
        <w:rPr>
          <w:rFonts w:ascii="Times New Roman" w:hAnsi="Times New Roman"/>
          <w:sz w:val="28"/>
          <w:szCs w:val="28"/>
        </w:rPr>
        <w:t xml:space="preserve"> год в сумме </w:t>
      </w:r>
      <w:r w:rsidR="00AF0B68">
        <w:rPr>
          <w:rFonts w:ascii="Times New Roman" w:hAnsi="Times New Roman"/>
          <w:sz w:val="28"/>
          <w:szCs w:val="28"/>
        </w:rPr>
        <w:t>15 357,0</w:t>
      </w:r>
      <w:r w:rsidRPr="007864E8">
        <w:rPr>
          <w:rFonts w:ascii="Times New Roman" w:hAnsi="Times New Roman"/>
          <w:sz w:val="28"/>
          <w:szCs w:val="28"/>
        </w:rPr>
        <w:t xml:space="preserve"> тыс. рублей.</w:t>
      </w:r>
    </w:p>
    <w:p w:rsidR="0010402D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7864E8">
        <w:rPr>
          <w:rFonts w:ascii="Times New Roman" w:hAnsi="Times New Roman"/>
          <w:sz w:val="28"/>
          <w:szCs w:val="28"/>
        </w:rPr>
        <w:t xml:space="preserve">аким образом, </w:t>
      </w:r>
      <w:r w:rsidR="00482D54">
        <w:rPr>
          <w:rFonts w:ascii="Times New Roman" w:hAnsi="Times New Roman"/>
          <w:sz w:val="28"/>
          <w:szCs w:val="28"/>
        </w:rPr>
        <w:t>объем бюджетных</w:t>
      </w:r>
      <w:r w:rsidRPr="007864E8">
        <w:rPr>
          <w:rFonts w:ascii="Times New Roman" w:hAnsi="Times New Roman"/>
          <w:sz w:val="28"/>
          <w:szCs w:val="28"/>
        </w:rPr>
        <w:t xml:space="preserve"> ассигновани</w:t>
      </w:r>
      <w:r w:rsidR="00482D54">
        <w:rPr>
          <w:rFonts w:ascii="Times New Roman" w:hAnsi="Times New Roman"/>
          <w:sz w:val="28"/>
          <w:szCs w:val="28"/>
        </w:rPr>
        <w:t>й</w:t>
      </w:r>
      <w:r w:rsidRPr="007864E8">
        <w:rPr>
          <w:rFonts w:ascii="Times New Roman" w:hAnsi="Times New Roman"/>
          <w:sz w:val="28"/>
          <w:szCs w:val="28"/>
        </w:rPr>
        <w:t>, предусмотренны</w:t>
      </w:r>
      <w:r w:rsidR="00482D54">
        <w:rPr>
          <w:rFonts w:ascii="Times New Roman" w:hAnsi="Times New Roman"/>
          <w:sz w:val="28"/>
          <w:szCs w:val="28"/>
        </w:rPr>
        <w:t>х</w:t>
      </w:r>
      <w:r w:rsidRPr="007864E8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482D54">
        <w:rPr>
          <w:rFonts w:ascii="Times New Roman" w:hAnsi="Times New Roman"/>
          <w:sz w:val="28"/>
          <w:szCs w:val="28"/>
        </w:rPr>
        <w:t xml:space="preserve">«Управление муниципальными финансами Арамильского городского округа до 2020 года» </w:t>
      </w:r>
      <w:r w:rsidRPr="007864E8">
        <w:rPr>
          <w:rFonts w:ascii="Times New Roman" w:hAnsi="Times New Roman"/>
          <w:sz w:val="28"/>
          <w:szCs w:val="28"/>
        </w:rPr>
        <w:t>на 201</w:t>
      </w:r>
      <w:r w:rsidR="00482D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482D54">
        <w:rPr>
          <w:rFonts w:ascii="Times New Roman" w:hAnsi="Times New Roman"/>
          <w:sz w:val="28"/>
          <w:szCs w:val="28"/>
        </w:rPr>
        <w:t xml:space="preserve">год не </w:t>
      </w:r>
      <w:r w:rsidRPr="007864E8">
        <w:rPr>
          <w:rFonts w:ascii="Times New Roman" w:hAnsi="Times New Roman"/>
          <w:sz w:val="28"/>
          <w:szCs w:val="28"/>
        </w:rPr>
        <w:t>соответству</w:t>
      </w:r>
      <w:r w:rsidR="00482D54">
        <w:rPr>
          <w:rFonts w:ascii="Times New Roman" w:hAnsi="Times New Roman"/>
          <w:sz w:val="28"/>
          <w:szCs w:val="28"/>
        </w:rPr>
        <w:t>е</w:t>
      </w:r>
      <w:r w:rsidRPr="007864E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</w:t>
      </w:r>
      <w:r w:rsidRPr="007864E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Pr="007864E8">
        <w:rPr>
          <w:rFonts w:ascii="Times New Roman" w:hAnsi="Times New Roman"/>
          <w:sz w:val="28"/>
          <w:szCs w:val="28"/>
        </w:rPr>
        <w:t xml:space="preserve"> Думы </w:t>
      </w:r>
      <w:r w:rsidR="009E454D">
        <w:rPr>
          <w:rFonts w:ascii="Times New Roman" w:hAnsi="Times New Roman"/>
          <w:sz w:val="28"/>
          <w:szCs w:val="28"/>
        </w:rPr>
        <w:t>от 08 июня 2017 года № 18/4 «О внесении изменений и дополнений в Решение Думы Арамильского городского округа от 15 декабря 2017 года № 7/1</w:t>
      </w:r>
      <w:r w:rsidR="009E454D" w:rsidRPr="00C4410D">
        <w:rPr>
          <w:rFonts w:ascii="Times New Roman" w:hAnsi="Times New Roman"/>
          <w:sz w:val="28"/>
          <w:szCs w:val="28"/>
        </w:rPr>
        <w:t xml:space="preserve"> </w:t>
      </w:r>
      <w:r w:rsidR="009E454D">
        <w:rPr>
          <w:rFonts w:ascii="Times New Roman" w:hAnsi="Times New Roman"/>
          <w:sz w:val="28"/>
          <w:szCs w:val="28"/>
        </w:rPr>
        <w:t>«О бюджете Арамильского городского округа на 2017 год и</w:t>
      </w:r>
      <w:proofErr w:type="gramEnd"/>
      <w:r w:rsidR="009E454D">
        <w:rPr>
          <w:rFonts w:ascii="Times New Roman" w:hAnsi="Times New Roman"/>
          <w:sz w:val="28"/>
          <w:szCs w:val="28"/>
        </w:rPr>
        <w:t xml:space="preserve"> плановый период 2018 и 2019 годов»</w:t>
      </w:r>
      <w:r w:rsidR="00482D54">
        <w:rPr>
          <w:rFonts w:ascii="Times New Roman" w:hAnsi="Times New Roman"/>
          <w:sz w:val="28"/>
          <w:szCs w:val="28"/>
        </w:rPr>
        <w:t>,</w:t>
      </w:r>
      <w:r w:rsidR="00482D54" w:rsidRPr="00482D54">
        <w:rPr>
          <w:rFonts w:ascii="Times New Roman" w:hAnsi="Times New Roman"/>
          <w:sz w:val="28"/>
          <w:szCs w:val="28"/>
        </w:rPr>
        <w:t xml:space="preserve"> </w:t>
      </w:r>
      <w:r w:rsidR="00482D54">
        <w:rPr>
          <w:rFonts w:ascii="Times New Roman" w:hAnsi="Times New Roman"/>
          <w:sz w:val="28"/>
          <w:szCs w:val="28"/>
        </w:rPr>
        <w:t>в части подпрограммы № 1 «Управление бюджетным процессом и его совершенствование» на сумму 190,1 тыс. рублей.</w:t>
      </w:r>
    </w:p>
    <w:p w:rsidR="0010402D" w:rsidRPr="009E0596" w:rsidRDefault="0010402D" w:rsidP="001040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00A">
        <w:rPr>
          <w:rFonts w:ascii="Times New Roman" w:hAnsi="Times New Roman"/>
          <w:sz w:val="28"/>
          <w:szCs w:val="28"/>
        </w:rPr>
        <w:t xml:space="preserve">По итогам финансово-экономической экспертизы проекта </w:t>
      </w:r>
      <w:r w:rsidR="00482D54">
        <w:rPr>
          <w:rFonts w:ascii="Times New Roman" w:hAnsi="Times New Roman"/>
          <w:sz w:val="28"/>
          <w:szCs w:val="28"/>
        </w:rPr>
        <w:t>п</w:t>
      </w:r>
      <w:r w:rsidRPr="0091700A">
        <w:rPr>
          <w:rFonts w:ascii="Times New Roman" w:hAnsi="Times New Roman"/>
          <w:sz w:val="28"/>
          <w:szCs w:val="28"/>
        </w:rPr>
        <w:t>остановления</w:t>
      </w:r>
      <w:r w:rsidRPr="00C4410D">
        <w:rPr>
          <w:rFonts w:ascii="Times New Roman" w:hAnsi="Times New Roman"/>
          <w:b/>
          <w:sz w:val="28"/>
          <w:szCs w:val="28"/>
        </w:rPr>
        <w:t xml:space="preserve"> </w:t>
      </w:r>
      <w:r w:rsidRPr="00714682">
        <w:rPr>
          <w:rFonts w:ascii="Times New Roman" w:hAnsi="Times New Roman"/>
          <w:sz w:val="28"/>
          <w:szCs w:val="28"/>
        </w:rPr>
        <w:t xml:space="preserve">Администрации Арамильского городского округа «О внесении изменений в </w:t>
      </w:r>
      <w:r w:rsidRPr="00714682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Арамильского городского округа от </w:t>
      </w:r>
      <w:r w:rsidR="00482D54">
        <w:rPr>
          <w:rFonts w:ascii="Times New Roman" w:hAnsi="Times New Roman"/>
          <w:sz w:val="28"/>
          <w:szCs w:val="28"/>
        </w:rPr>
        <w:t>24</w:t>
      </w:r>
      <w:r w:rsidRPr="00714682">
        <w:rPr>
          <w:rFonts w:ascii="Times New Roman" w:hAnsi="Times New Roman"/>
          <w:sz w:val="28"/>
          <w:szCs w:val="28"/>
        </w:rPr>
        <w:t>.</w:t>
      </w:r>
      <w:r w:rsidR="00482D54">
        <w:rPr>
          <w:rFonts w:ascii="Times New Roman" w:hAnsi="Times New Roman"/>
          <w:sz w:val="28"/>
          <w:szCs w:val="28"/>
        </w:rPr>
        <w:t>03</w:t>
      </w:r>
      <w:r w:rsidRPr="00714682">
        <w:rPr>
          <w:rFonts w:ascii="Times New Roman" w:hAnsi="Times New Roman"/>
          <w:sz w:val="28"/>
          <w:szCs w:val="28"/>
        </w:rPr>
        <w:t>.201</w:t>
      </w:r>
      <w:r w:rsidR="00482D54">
        <w:rPr>
          <w:rFonts w:ascii="Times New Roman" w:hAnsi="Times New Roman"/>
          <w:sz w:val="28"/>
          <w:szCs w:val="28"/>
        </w:rPr>
        <w:t>4</w:t>
      </w:r>
      <w:r w:rsidRPr="00714682">
        <w:rPr>
          <w:rFonts w:ascii="Times New Roman" w:hAnsi="Times New Roman"/>
          <w:sz w:val="28"/>
          <w:szCs w:val="28"/>
        </w:rPr>
        <w:t xml:space="preserve"> года № </w:t>
      </w:r>
      <w:r w:rsidR="00482D54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Pr="00714682">
        <w:rPr>
          <w:rFonts w:ascii="Times New Roman" w:hAnsi="Times New Roman"/>
          <w:sz w:val="28"/>
          <w:szCs w:val="28"/>
        </w:rPr>
        <w:t xml:space="preserve"> </w:t>
      </w:r>
      <w:r w:rsidR="00482D54">
        <w:rPr>
          <w:rFonts w:ascii="Times New Roman" w:hAnsi="Times New Roman"/>
          <w:sz w:val="28"/>
          <w:szCs w:val="28"/>
        </w:rPr>
        <w:t>«Управление муниципальными финансами Арамильского городского округа до 2020 года»</w:t>
      </w:r>
      <w:r w:rsidR="00AF0B68">
        <w:rPr>
          <w:rFonts w:ascii="Times New Roman" w:hAnsi="Times New Roman"/>
          <w:sz w:val="28"/>
          <w:szCs w:val="28"/>
        </w:rPr>
        <w:t xml:space="preserve"> Контрольно-счетная палата, на основании  Порядка рассмотрения Думой Арамильского городского округа проектов муниципальных программ и предложений о внесении изменений в муниципальные программы Арамильского городского округа</w:t>
      </w:r>
      <w:proofErr w:type="gramEnd"/>
      <w:r w:rsidR="00AF0B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F0B68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AF0B68">
        <w:rPr>
          <w:rFonts w:ascii="Times New Roman" w:hAnsi="Times New Roman"/>
          <w:sz w:val="28"/>
          <w:szCs w:val="28"/>
        </w:rPr>
        <w:t xml:space="preserve"> решением Думы Арамильского городского округа от 08 июня 2017 года № 18/14, рекомендует Финансовому отделу Администрации АГО направить предложения по внесению изменений в муниципальную программу «Управление муниципальными финансами Арамильского городского округа до 2020 года» в Думу Арамильского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10402D" w:rsidRDefault="0010402D" w:rsidP="0010402D">
      <w:pPr>
        <w:jc w:val="both"/>
        <w:rPr>
          <w:sz w:val="28"/>
          <w:szCs w:val="28"/>
        </w:rPr>
      </w:pPr>
    </w:p>
    <w:p w:rsidR="00A84F3D" w:rsidRDefault="00A84F3D" w:rsidP="0010402D">
      <w:pPr>
        <w:jc w:val="both"/>
        <w:rPr>
          <w:sz w:val="28"/>
          <w:szCs w:val="28"/>
        </w:rPr>
      </w:pPr>
    </w:p>
    <w:p w:rsidR="00A84F3D" w:rsidRDefault="00A84F3D" w:rsidP="0010402D">
      <w:pPr>
        <w:jc w:val="both"/>
        <w:rPr>
          <w:sz w:val="28"/>
          <w:szCs w:val="28"/>
        </w:rPr>
      </w:pPr>
    </w:p>
    <w:p w:rsidR="0010402D" w:rsidRDefault="0010402D" w:rsidP="00104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Pr="00643751">
        <w:rPr>
          <w:rFonts w:ascii="Times New Roman" w:hAnsi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751">
        <w:rPr>
          <w:rFonts w:ascii="Times New Roman" w:hAnsi="Times New Roman"/>
          <w:sz w:val="28"/>
          <w:szCs w:val="28"/>
        </w:rPr>
        <w:t>палаты</w:t>
      </w:r>
    </w:p>
    <w:p w:rsidR="0010402D" w:rsidRPr="00643751" w:rsidRDefault="0010402D" w:rsidP="0010402D">
      <w:pPr>
        <w:spacing w:after="0" w:line="240" w:lineRule="auto"/>
        <w:jc w:val="both"/>
        <w:rPr>
          <w:rFonts w:ascii="Times New Roman" w:hAnsi="Times New Roman"/>
        </w:rPr>
      </w:pPr>
      <w:r w:rsidRPr="00643751">
        <w:rPr>
          <w:rFonts w:ascii="Times New Roman" w:hAnsi="Times New Roman"/>
          <w:sz w:val="28"/>
          <w:szCs w:val="28"/>
        </w:rPr>
        <w:t xml:space="preserve">Арамильского городского округа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43751">
        <w:rPr>
          <w:rFonts w:ascii="Times New Roman" w:hAnsi="Times New Roman"/>
          <w:sz w:val="28"/>
          <w:szCs w:val="28"/>
        </w:rPr>
        <w:t xml:space="preserve">       С.А. Калугина</w:t>
      </w:r>
    </w:p>
    <w:p w:rsidR="0010402D" w:rsidRPr="0091010B" w:rsidRDefault="0010402D" w:rsidP="001040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02D" w:rsidRDefault="0010402D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02D" w:rsidRDefault="0010402D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02D" w:rsidRDefault="0010402D" w:rsidP="006203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25BC" w:rsidRPr="0091010B" w:rsidRDefault="006525BC" w:rsidP="006525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525BC" w:rsidRPr="0091010B" w:rsidSect="00376162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B"/>
    <w:rsid w:val="0010402D"/>
    <w:rsid w:val="00180293"/>
    <w:rsid w:val="001A5281"/>
    <w:rsid w:val="001B613C"/>
    <w:rsid w:val="00300E11"/>
    <w:rsid w:val="003068C6"/>
    <w:rsid w:val="00376162"/>
    <w:rsid w:val="00424481"/>
    <w:rsid w:val="00482D54"/>
    <w:rsid w:val="006203EB"/>
    <w:rsid w:val="00643751"/>
    <w:rsid w:val="006525BC"/>
    <w:rsid w:val="00724B08"/>
    <w:rsid w:val="009E454D"/>
    <w:rsid w:val="00A84F3D"/>
    <w:rsid w:val="00AF0B68"/>
    <w:rsid w:val="00B14614"/>
    <w:rsid w:val="00B16976"/>
    <w:rsid w:val="00C07D52"/>
    <w:rsid w:val="00D11C10"/>
    <w:rsid w:val="00D26E9B"/>
    <w:rsid w:val="00DC611F"/>
    <w:rsid w:val="00F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4">
    <w:name w:val="Стиль"/>
    <w:rsid w:val="00620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203EB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6">
    <w:name w:val="Основной текст Знак"/>
    <w:basedOn w:val="a0"/>
    <w:link w:val="a5"/>
    <w:rsid w:val="006203E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6203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E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481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4">
    <w:name w:val="Стиль"/>
    <w:rsid w:val="006203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203EB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6">
    <w:name w:val="Основной текст Знак"/>
    <w:basedOn w:val="a0"/>
    <w:link w:val="a5"/>
    <w:rsid w:val="006203E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6203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E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0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2017-07-05T08:43:00Z</cp:lastPrinted>
  <dcterms:created xsi:type="dcterms:W3CDTF">2017-06-05T07:05:00Z</dcterms:created>
  <dcterms:modified xsi:type="dcterms:W3CDTF">2018-04-04T05:16:00Z</dcterms:modified>
</cp:coreProperties>
</file>