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Ind w:w="93" w:type="dxa"/>
        <w:tblLook w:val="04A0" w:firstRow="1" w:lastRow="0" w:firstColumn="1" w:lastColumn="0" w:noHBand="0" w:noVBand="1"/>
      </w:tblPr>
      <w:tblGrid>
        <w:gridCol w:w="3317"/>
        <w:gridCol w:w="1093"/>
        <w:gridCol w:w="308"/>
        <w:gridCol w:w="4511"/>
        <w:gridCol w:w="429"/>
      </w:tblGrid>
      <w:tr w:rsidR="00255622" w:rsidRPr="00255622" w:rsidTr="00255622">
        <w:trPr>
          <w:trHeight w:val="360"/>
        </w:trPr>
        <w:tc>
          <w:tcPr>
            <w:tcW w:w="3317" w:type="dxa"/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940" w:type="dxa"/>
            <w:gridSpan w:val="2"/>
            <w:vMerge w:val="restart"/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ind w:left="-324" w:firstLine="32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255622" w:rsidRPr="00255622" w:rsidRDefault="00255622" w:rsidP="00255622">
            <w:pPr>
              <w:suppressAutoHyphens w:val="0"/>
              <w:spacing w:after="0" w:line="240" w:lineRule="auto"/>
              <w:ind w:left="-324" w:firstLine="32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255622" w:rsidRPr="00255622" w:rsidRDefault="009030F8" w:rsidP="00255622">
            <w:pPr>
              <w:suppressAutoHyphens w:val="0"/>
              <w:spacing w:after="0" w:line="240" w:lineRule="auto"/>
              <w:ind w:left="-324" w:firstLine="32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360от 01.08.2018</w:t>
            </w:r>
            <w:bookmarkStart w:id="0" w:name="_GoBack"/>
            <w:bookmarkEnd w:id="0"/>
          </w:p>
          <w:p w:rsidR="00255622" w:rsidRPr="00255622" w:rsidRDefault="00255622" w:rsidP="0025562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«Совершенствование муниципального управления и противодействие коррупции в Арамильском городском округе до 2020 года»</w:t>
            </w:r>
          </w:p>
        </w:tc>
      </w:tr>
      <w:tr w:rsidR="00255622" w:rsidRPr="00255622" w:rsidTr="00255622">
        <w:trPr>
          <w:trHeight w:val="390"/>
        </w:trPr>
        <w:tc>
          <w:tcPr>
            <w:tcW w:w="3317" w:type="dxa"/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940" w:type="dxa"/>
            <w:gridSpan w:val="2"/>
            <w:vMerge/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5622" w:rsidRPr="00255622" w:rsidTr="00255622">
        <w:trPr>
          <w:trHeight w:val="435"/>
        </w:trPr>
        <w:tc>
          <w:tcPr>
            <w:tcW w:w="3317" w:type="dxa"/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940" w:type="dxa"/>
            <w:gridSpan w:val="2"/>
            <w:vMerge/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5622" w:rsidRPr="00255622" w:rsidTr="00255622">
        <w:trPr>
          <w:trHeight w:val="360"/>
        </w:trPr>
        <w:tc>
          <w:tcPr>
            <w:tcW w:w="9229" w:type="dxa"/>
            <w:gridSpan w:val="4"/>
            <w:vMerge w:val="restart"/>
            <w:shd w:val="clear" w:color="auto" w:fill="auto"/>
            <w:vAlign w:val="center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ПАСПОРТ</w:t>
            </w:r>
          </w:p>
          <w:p w:rsidR="00255622" w:rsidRPr="00255622" w:rsidRDefault="00255622" w:rsidP="002556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муниципальной программы</w:t>
            </w:r>
          </w:p>
          <w:p w:rsidR="00255622" w:rsidRPr="00255622" w:rsidRDefault="00255622" w:rsidP="0025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«Совершенствование муниципального управления и противодействие коррупции в Арамильском городском округе до 2020 года»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5622" w:rsidRPr="00255622" w:rsidTr="00255622">
        <w:trPr>
          <w:trHeight w:val="360"/>
        </w:trPr>
        <w:tc>
          <w:tcPr>
            <w:tcW w:w="9229" w:type="dxa"/>
            <w:gridSpan w:val="4"/>
            <w:vMerge/>
            <w:shd w:val="clear" w:color="auto" w:fill="auto"/>
            <w:vAlign w:val="center"/>
            <w:hideMark/>
          </w:tcPr>
          <w:p w:rsidR="00255622" w:rsidRPr="00255622" w:rsidRDefault="00255622" w:rsidP="0025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5622" w:rsidRPr="00255622" w:rsidTr="00255622">
        <w:trPr>
          <w:trHeight w:val="1020"/>
        </w:trPr>
        <w:tc>
          <w:tcPr>
            <w:tcW w:w="9229" w:type="dxa"/>
            <w:gridSpan w:val="4"/>
            <w:vMerge/>
            <w:shd w:val="clear" w:color="auto" w:fill="auto"/>
            <w:vAlign w:val="center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0"/>
        <w:tblW w:w="9306" w:type="dxa"/>
        <w:tblLook w:val="04A0" w:firstRow="1" w:lastRow="0" w:firstColumn="1" w:lastColumn="0" w:noHBand="0" w:noVBand="1"/>
      </w:tblPr>
      <w:tblGrid>
        <w:gridCol w:w="3380"/>
        <w:gridCol w:w="940"/>
        <w:gridCol w:w="480"/>
        <w:gridCol w:w="4284"/>
        <w:gridCol w:w="222"/>
      </w:tblGrid>
      <w:tr w:rsidR="00255622" w:rsidRPr="00255622" w:rsidTr="00255622">
        <w:trPr>
          <w:trHeight w:val="15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5622" w:rsidRPr="00255622" w:rsidTr="00255622">
        <w:trPr>
          <w:trHeight w:val="136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2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Администрация Арамильского городского округа</w:t>
            </w:r>
          </w:p>
        </w:tc>
      </w:tr>
      <w:tr w:rsidR="00255622" w:rsidRPr="00255622" w:rsidTr="00255622">
        <w:trPr>
          <w:trHeight w:val="117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92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2015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- 2020 годы</w:t>
            </w:r>
          </w:p>
        </w:tc>
      </w:tr>
      <w:tr w:rsidR="00255622" w:rsidRPr="00255622" w:rsidTr="00255622">
        <w:trPr>
          <w:trHeight w:val="166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Цели и задачи муниципальной программы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1.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Арамильского городского округ</w:t>
            </w:r>
          </w:p>
        </w:tc>
      </w:tr>
      <w:tr w:rsidR="00255622" w:rsidRPr="00255622" w:rsidTr="00255622">
        <w:trPr>
          <w:trHeight w:val="1407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Задача 1.1. Совершенствование правового регулирования муниципального управления Арамильского городского округа в сфере кадровой политики </w:t>
            </w:r>
          </w:p>
        </w:tc>
      </w:tr>
      <w:tr w:rsidR="00255622" w:rsidRPr="00255622" w:rsidTr="00255622">
        <w:trPr>
          <w:trHeight w:val="2121"/>
        </w:trPr>
        <w:tc>
          <w:tcPr>
            <w:tcW w:w="3380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 1.2. Создание эффективной целостной системы и механизмов формирования и функционирования кадрового состава в сфере муниципальной службы в Арамильском городском округе на основе внедрения новых принципов кадровой политики</w:t>
            </w:r>
          </w:p>
        </w:tc>
      </w:tr>
      <w:tr w:rsidR="00255622" w:rsidRPr="00255622" w:rsidTr="00255622">
        <w:trPr>
          <w:trHeight w:val="1695"/>
        </w:trPr>
        <w:tc>
          <w:tcPr>
            <w:tcW w:w="3380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 1.3. Обеспечение взаимосвязи государственной гражданской и муниципальной службы в Арамильском городском округе</w:t>
            </w:r>
          </w:p>
          <w:p w:rsidR="00255622" w:rsidRDefault="00255622" w:rsidP="0025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5622" w:rsidRPr="00255622" w:rsidRDefault="00255622" w:rsidP="0025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2. Искоренение причин и условий, порождающих коррупцию на территории Арамильского городского округа</w:t>
            </w:r>
          </w:p>
        </w:tc>
      </w:tr>
      <w:tr w:rsidR="00255622" w:rsidRPr="00255622" w:rsidTr="00255622">
        <w:trPr>
          <w:trHeight w:val="1320"/>
        </w:trPr>
        <w:tc>
          <w:tcPr>
            <w:tcW w:w="33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622" w:rsidRPr="00255622" w:rsidTr="00255622">
        <w:trPr>
          <w:trHeight w:val="1260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 2.1. Обеспечение выполнения на территории Арамильского городского округа норм антикоррупционного поведения</w:t>
            </w:r>
          </w:p>
        </w:tc>
      </w:tr>
      <w:tr w:rsidR="00255622" w:rsidRPr="00255622" w:rsidTr="00255622">
        <w:trPr>
          <w:trHeight w:val="21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3. «Совершенствование информационно-технической инфраструктуры Арамильского городского округа, в т.ч. для предоставления государственных и муниципальных услуг в электронном виде»</w:t>
            </w:r>
          </w:p>
        </w:tc>
      </w:tr>
      <w:tr w:rsidR="00255622" w:rsidRPr="00255622" w:rsidTr="00255622">
        <w:trPr>
          <w:trHeight w:val="252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 3.1. «Применение информационно-телекоммуникационных технологий в деятельности органов местного самоуправления и формирование электронного правительства Арамильского городского округа»</w:t>
            </w:r>
          </w:p>
        </w:tc>
      </w:tr>
      <w:tr w:rsidR="00255622" w:rsidRPr="00255622" w:rsidTr="00255622">
        <w:trPr>
          <w:trHeight w:val="93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 3.2. «Разработка, наполнение и сопровождение ИСОГД»</w:t>
            </w:r>
          </w:p>
        </w:tc>
      </w:tr>
      <w:tr w:rsidR="00255622" w:rsidRPr="00255622" w:rsidTr="00255622">
        <w:trPr>
          <w:trHeight w:val="975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 3.3. «Применение ИКТ в муниципальном управлении»</w:t>
            </w:r>
          </w:p>
        </w:tc>
      </w:tr>
      <w:tr w:rsidR="00255622" w:rsidRPr="00255622" w:rsidTr="00255622">
        <w:trPr>
          <w:trHeight w:val="1365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 3.4. «Внедрение муниципальной информационной системы, унифицированных коммуникаций»</w:t>
            </w:r>
          </w:p>
        </w:tc>
      </w:tr>
      <w:tr w:rsidR="00255622" w:rsidRPr="00255622" w:rsidTr="00255622">
        <w:trPr>
          <w:trHeight w:val="241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Перечень подпрограмм муниципальной программы (при их наличии)</w:t>
            </w:r>
          </w:p>
          <w:p w:rsidR="00255622" w:rsidRPr="00255622" w:rsidRDefault="00255622" w:rsidP="0025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1. «Развитие кадровой политики в системе муниципального управления Арамильского городского округа до 2020 года»</w:t>
            </w:r>
          </w:p>
          <w:p w:rsid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</w:p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2. «Противодействие коррупции в Арамильском городском округе до 2020 года»</w:t>
            </w:r>
          </w:p>
          <w:p w:rsidR="00255622" w:rsidRDefault="00255622" w:rsidP="0025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</w:p>
          <w:p w:rsidR="00255622" w:rsidRPr="00255622" w:rsidRDefault="00255622" w:rsidP="0025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3. «Развитие информационного общества в Арамильском городском округе до 2020 года»</w:t>
            </w:r>
          </w:p>
        </w:tc>
      </w:tr>
      <w:tr w:rsidR="00255622" w:rsidRPr="00255622" w:rsidTr="00255622">
        <w:trPr>
          <w:trHeight w:val="1133"/>
        </w:trPr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255622" w:rsidRPr="00255622" w:rsidTr="00255622">
        <w:trPr>
          <w:trHeight w:val="3915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1. Доля муниципальных нормативных правовых актов АГО, регулирующих вопросы прохождения муниципальной службы и правоотношения в сфере противодействия коррупции, которые приведены в соответствие с изменениями, вносимыми в федеральное законодательство и законодательство СО о прохождении муниципальной службы и противодействии коррупции</w:t>
            </w:r>
          </w:p>
        </w:tc>
      </w:tr>
      <w:tr w:rsidR="00255622" w:rsidRPr="00255622" w:rsidTr="00255622">
        <w:trPr>
          <w:trHeight w:val="2535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2. Доля органов местного самоуправления Арамильского городского округа, в которых сформированы кадровые резервы, от общего количества органов местного самоуправления Арамильского городского округа</w:t>
            </w:r>
          </w:p>
        </w:tc>
      </w:tr>
      <w:tr w:rsidR="00255622" w:rsidRPr="00255622" w:rsidTr="00255622">
        <w:trPr>
          <w:trHeight w:val="18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3. Доля лиц, назначенных из резерва управленческих кадров Арамильского городского округа, от общего количества вакантных должностей </w:t>
            </w:r>
          </w:p>
        </w:tc>
      </w:tr>
      <w:tr w:rsidR="00255622" w:rsidRPr="00255622" w:rsidTr="00255622">
        <w:trPr>
          <w:trHeight w:val="2265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4. Доля муниципальных служащих Арамильского городского округа, прошедших обучение за счет областного бюджета, от общего количества муниципальных служащих (не менее) </w:t>
            </w:r>
          </w:p>
        </w:tc>
      </w:tr>
      <w:tr w:rsidR="00255622" w:rsidRPr="00255622" w:rsidTr="00255622">
        <w:trPr>
          <w:trHeight w:val="2520"/>
        </w:trPr>
        <w:tc>
          <w:tcPr>
            <w:tcW w:w="33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5. Доля лиц, получающих пенсию за выслугу лет, в общей численности указанной категории лиц, имеющих право на выплату указанной пенсии и обратившихся в Администрацию Арамильского городского округа</w:t>
            </w:r>
          </w:p>
        </w:tc>
      </w:tr>
      <w:tr w:rsidR="00255622" w:rsidRPr="00255622" w:rsidTr="00255622">
        <w:trPr>
          <w:trHeight w:val="181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6. Доля муниципальных служащих Арамильского городского округа, прошедших диспансеризацию, от общего количества муниципальных служащих</w:t>
            </w:r>
          </w:p>
        </w:tc>
      </w:tr>
      <w:tr w:rsidR="00255622" w:rsidRPr="00255622" w:rsidTr="00255622">
        <w:trPr>
          <w:trHeight w:val="2580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lastRenderedPageBreak/>
              <w:t xml:space="preserve"> 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7. Доля проведенных заседаний комиссии по противодействию коррупции информация о результатах которых размещена на официальном сайте Арамильского городского округа, от общего количества заседаний комиссий </w:t>
            </w:r>
          </w:p>
        </w:tc>
      </w:tr>
      <w:tr w:rsidR="00255622" w:rsidRPr="00255622" w:rsidTr="00255622">
        <w:trPr>
          <w:trHeight w:val="1035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8. Оценка эффективности антикоррупционных мер</w:t>
            </w:r>
          </w:p>
        </w:tc>
      </w:tr>
      <w:tr w:rsidR="00255622" w:rsidRPr="00255622" w:rsidTr="00255622">
        <w:trPr>
          <w:trHeight w:val="240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9. Доля проведенных заседаний комиссии по соблюдению требований к служебному поведению, информация о результатах которых размещена на официальном сайте Арамильского городского округа, от общего количества заседаний комиссий </w:t>
            </w:r>
          </w:p>
        </w:tc>
      </w:tr>
      <w:tr w:rsidR="00255622" w:rsidRPr="00255622" w:rsidTr="00255622">
        <w:trPr>
          <w:trHeight w:val="1515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10. Доля органов местного самоуправления, подключенных к единой сети передачи данных Правительства Свердловской области</w:t>
            </w:r>
          </w:p>
        </w:tc>
      </w:tr>
      <w:tr w:rsidR="00255622" w:rsidRPr="00255622" w:rsidTr="00255622">
        <w:trPr>
          <w:trHeight w:val="1365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11. Доля муниципальных учреждений, подключенных к единой сети передачи данных Правительства Свердловской области</w:t>
            </w:r>
          </w:p>
        </w:tc>
      </w:tr>
      <w:tr w:rsidR="00255622" w:rsidRPr="00255622" w:rsidTr="00255622">
        <w:trPr>
          <w:trHeight w:val="141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12. Количество государственных (муниципальных) услуг, предоставляемых в электронном виде</w:t>
            </w:r>
          </w:p>
        </w:tc>
      </w:tr>
      <w:tr w:rsidR="00255622" w:rsidRPr="00255622" w:rsidTr="00255622">
        <w:trPr>
          <w:trHeight w:val="1395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13. Количество центров общественного доступа к сети Интернет на базе муниципальных библиотек</w:t>
            </w:r>
          </w:p>
        </w:tc>
      </w:tr>
      <w:tr w:rsidR="00255622" w:rsidRPr="00255622" w:rsidTr="00255622">
        <w:trPr>
          <w:trHeight w:val="2205"/>
        </w:trPr>
        <w:tc>
          <w:tcPr>
            <w:tcW w:w="33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14. Доля ведомственных и межведомственных информационных систем органов местного самоуправления, размещенных в едином центре обработки данных Арамильского городского округа</w:t>
            </w:r>
          </w:p>
        </w:tc>
      </w:tr>
      <w:tr w:rsidR="00255622" w:rsidRPr="00255622" w:rsidTr="00255622">
        <w:trPr>
          <w:trHeight w:val="144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15. 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255622" w:rsidRPr="00255622" w:rsidTr="00255622">
        <w:trPr>
          <w:trHeight w:val="1350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lastRenderedPageBreak/>
              <w:t xml:space="preserve"> 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16. Доля муниципальных учреждений, имеющих широкополосный доступ к сети Интернет</w:t>
            </w:r>
          </w:p>
        </w:tc>
      </w:tr>
      <w:tr w:rsidR="00255622" w:rsidRPr="00255622" w:rsidTr="00255622">
        <w:trPr>
          <w:trHeight w:val="183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17. Доля компьютерного парка органов местного самоуправления и муниципальных казенных учреждений со сроком эксплуатации не более 5 лет</w:t>
            </w:r>
          </w:p>
        </w:tc>
      </w:tr>
      <w:tr w:rsidR="00255622" w:rsidRPr="00255622" w:rsidTr="00255622">
        <w:trPr>
          <w:trHeight w:val="69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18. Доля используемого лицензионного системного программного обеспечения</w:t>
            </w:r>
          </w:p>
        </w:tc>
      </w:tr>
      <w:tr w:rsidR="00255622" w:rsidRPr="00255622" w:rsidTr="00255622">
        <w:trPr>
          <w:trHeight w:val="21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19. Доля документов, относящихся к градостроительной деятельности, выдаваемых с использованием программного комплекса ИСОГД, относительно общего количества выдаваемых документов</w:t>
            </w:r>
          </w:p>
        </w:tc>
      </w:tr>
      <w:tr w:rsidR="00255622" w:rsidRPr="00255622" w:rsidTr="00255622">
        <w:trPr>
          <w:trHeight w:val="975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20. Количество усиленных квалифицированных электронных подписей</w:t>
            </w:r>
          </w:p>
        </w:tc>
      </w:tr>
      <w:tr w:rsidR="00255622" w:rsidRPr="00255622" w:rsidTr="00255622">
        <w:trPr>
          <w:trHeight w:val="885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21. Количество оборудованных мест для проведений конференций</w:t>
            </w:r>
          </w:p>
        </w:tc>
      </w:tr>
      <w:tr w:rsidR="00255622" w:rsidRPr="00255622" w:rsidTr="00255622">
        <w:trPr>
          <w:trHeight w:val="1005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22. Доля рабочих мест, имеющих средства защиты информации</w:t>
            </w:r>
          </w:p>
        </w:tc>
      </w:tr>
      <w:tr w:rsidR="00255622" w:rsidRPr="00255622" w:rsidTr="00255622">
        <w:trPr>
          <w:trHeight w:val="99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23. Доля рабочих мест, имеющих доступ к унифицированным коммуникациям</w:t>
            </w:r>
          </w:p>
        </w:tc>
      </w:tr>
      <w:tr w:rsidR="00255622" w:rsidRPr="00255622" w:rsidTr="00255622">
        <w:trPr>
          <w:trHeight w:val="210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24. Количество пользователей муниципальной информационной системы Арамильского городского округа от общего числа работников органов местного самоуправления</w:t>
            </w:r>
          </w:p>
        </w:tc>
      </w:tr>
      <w:tr w:rsidR="00255622" w:rsidRPr="00255622" w:rsidTr="00255622">
        <w:trPr>
          <w:trHeight w:val="37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Обьем финансирования</w:t>
            </w:r>
          </w:p>
        </w:tc>
        <w:tc>
          <w:tcPr>
            <w:tcW w:w="592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ВСЕГО:</w:t>
            </w:r>
          </w:p>
        </w:tc>
      </w:tr>
      <w:tr w:rsidR="00255622" w:rsidRPr="00255622" w:rsidTr="00255622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муниципальной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5E0093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5E0093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15 951,1 </w:t>
            </w:r>
            <w:r w:rsidR="00255622"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тыс. рублей</w:t>
            </w:r>
          </w:p>
        </w:tc>
      </w:tr>
      <w:tr w:rsidR="00255622" w:rsidRPr="00255622" w:rsidTr="00255622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программы по годам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 том числе:</w:t>
            </w:r>
          </w:p>
        </w:tc>
      </w:tr>
      <w:tr w:rsidR="00255622" w:rsidRPr="00255622" w:rsidTr="00255622">
        <w:trPr>
          <w:trHeight w:val="2627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реализации, тыс. рублей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2015 год - 2 519,7 тыс. рублей,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br/>
              <w:t>2016 год - 2 480,0 тыс. рублей,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br/>
              <w:t>2017 год - 2 794,6</w:t>
            </w:r>
            <w:r w:rsidR="005E0093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тыс. рублей,</w:t>
            </w:r>
            <w:r w:rsidR="005E0093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br/>
              <w:t xml:space="preserve">2018 год - 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="005E0093" w:rsidRPr="005E0093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2 805,7</w:t>
            </w:r>
            <w:r w:rsidR="005E0093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тыс. рублей,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br/>
              <w:t>2019 год - 1 896,0 тыс. рублей,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br/>
              <w:t>2020 год - 3 455,0 тыс. рублей</w:t>
            </w:r>
          </w:p>
        </w:tc>
      </w:tr>
      <w:tr w:rsidR="00255622" w:rsidRPr="00255622" w:rsidTr="00255622">
        <w:trPr>
          <w:trHeight w:val="360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lastRenderedPageBreak/>
              <w:t> 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из них:</w:t>
            </w:r>
          </w:p>
        </w:tc>
      </w:tr>
      <w:tr w:rsidR="00255622" w:rsidRPr="00255622" w:rsidTr="00255622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областной бюджет</w:t>
            </w:r>
          </w:p>
        </w:tc>
      </w:tr>
      <w:tr w:rsidR="00255622" w:rsidRPr="00255622" w:rsidTr="00255622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100,0 тыс. рублей</w:t>
            </w:r>
          </w:p>
        </w:tc>
      </w:tr>
      <w:tr w:rsidR="00255622" w:rsidRPr="00255622" w:rsidTr="00255622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 том числе:</w:t>
            </w:r>
          </w:p>
        </w:tc>
      </w:tr>
      <w:tr w:rsidR="00255622" w:rsidRPr="00255622" w:rsidTr="00255622">
        <w:trPr>
          <w:trHeight w:val="231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2015 год - 100,0 тыс. рублей,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br/>
              <w:t>2016 год - 0,0 тыс. рублей,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br/>
              <w:t>2017 год - 0,0 тыс. рублей,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br/>
              <w:t>2018 год - 0,0 тыс. рублей,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br/>
              <w:t>2019 год - 0,0 тыс. рублей,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br/>
              <w:t>2020 год - 0,0 тыс. рублей</w:t>
            </w:r>
          </w:p>
        </w:tc>
      </w:tr>
      <w:tr w:rsidR="00255622" w:rsidRPr="00255622" w:rsidTr="00255622">
        <w:trPr>
          <w:trHeight w:val="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5622" w:rsidRPr="00255622" w:rsidTr="00255622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местный бюджет</w:t>
            </w:r>
          </w:p>
        </w:tc>
      </w:tr>
      <w:tr w:rsidR="00255622" w:rsidRPr="00255622" w:rsidTr="00255622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5E0093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5E0093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15 851,1</w:t>
            </w: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="00255622"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тыс. рублей</w:t>
            </w:r>
          </w:p>
        </w:tc>
      </w:tr>
      <w:tr w:rsidR="00255622" w:rsidRPr="00255622" w:rsidTr="00255622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 том числе:</w:t>
            </w:r>
          </w:p>
        </w:tc>
      </w:tr>
      <w:tr w:rsidR="00255622" w:rsidRPr="00255622" w:rsidTr="00255622">
        <w:trPr>
          <w:trHeight w:val="2295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2015 год - 2 419,7 тыс. рублей,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br/>
              <w:t>2016 год - 2 480,0 тыс. рублей,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br/>
              <w:t>2017 год - 2 794,6</w:t>
            </w:r>
            <w:r w:rsidR="005E0093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тыс. рублей,</w:t>
            </w:r>
            <w:r w:rsidR="005E0093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br/>
              <w:t xml:space="preserve">2018 год - </w:t>
            </w:r>
            <w:r w:rsidR="005E0093" w:rsidRPr="005E0093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2 805,7</w:t>
            </w:r>
            <w:r w:rsidR="005E0093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тыс. рублей,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br/>
              <w:t>2019 год - 1 896,0 тыс. рублей,</w:t>
            </w: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br/>
              <w:t>2020 год - 3 455,0 тыс. рублей</w:t>
            </w:r>
          </w:p>
        </w:tc>
      </w:tr>
      <w:tr w:rsidR="00255622" w:rsidRPr="00255622" w:rsidTr="00255622">
        <w:trPr>
          <w:trHeight w:val="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5622" w:rsidRPr="00255622" w:rsidTr="00255622">
        <w:trPr>
          <w:trHeight w:val="37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Адрес размещения</w:t>
            </w:r>
          </w:p>
        </w:tc>
        <w:tc>
          <w:tcPr>
            <w:tcW w:w="592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255622" w:rsidRPr="00255622" w:rsidTr="00255622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муниципальной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AC79B5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AC79B5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https://www.aramilgo.ru/</w:t>
            </w:r>
          </w:p>
        </w:tc>
      </w:tr>
      <w:tr w:rsidR="00255622" w:rsidRPr="00255622" w:rsidTr="00255622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программы в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255622" w:rsidRPr="00255622" w:rsidTr="00255622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информационно-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255622" w:rsidRPr="00255622" w:rsidTr="00255622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-телекоммуникационной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255622" w:rsidRPr="00255622" w:rsidTr="00255622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сети Интернет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622" w:rsidRPr="00255622" w:rsidRDefault="00255622" w:rsidP="002556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255622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</w:tbl>
    <w:p w:rsidR="00255622" w:rsidRDefault="00255622"/>
    <w:p w:rsidR="00102770" w:rsidRPr="00255622" w:rsidRDefault="00102770" w:rsidP="00255622"/>
    <w:sectPr w:rsidR="00102770" w:rsidRPr="00255622" w:rsidSect="0025562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B78"/>
    <w:multiLevelType w:val="hybridMultilevel"/>
    <w:tmpl w:val="6DEC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35A"/>
    <w:multiLevelType w:val="hybridMultilevel"/>
    <w:tmpl w:val="205CA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3C"/>
    <w:rsid w:val="000034EE"/>
    <w:rsid w:val="00060AC3"/>
    <w:rsid w:val="000E3A9A"/>
    <w:rsid w:val="00102770"/>
    <w:rsid w:val="00137C08"/>
    <w:rsid w:val="001635D9"/>
    <w:rsid w:val="00165340"/>
    <w:rsid w:val="001A35D4"/>
    <w:rsid w:val="001D40C6"/>
    <w:rsid w:val="0022682D"/>
    <w:rsid w:val="002357D8"/>
    <w:rsid w:val="002418ED"/>
    <w:rsid w:val="00255622"/>
    <w:rsid w:val="00322D3C"/>
    <w:rsid w:val="00340703"/>
    <w:rsid w:val="00373CC2"/>
    <w:rsid w:val="00462F52"/>
    <w:rsid w:val="00472397"/>
    <w:rsid w:val="00490088"/>
    <w:rsid w:val="004A0F34"/>
    <w:rsid w:val="004F2EF7"/>
    <w:rsid w:val="00562F3D"/>
    <w:rsid w:val="005B2F59"/>
    <w:rsid w:val="005E0093"/>
    <w:rsid w:val="006D1FF0"/>
    <w:rsid w:val="006D5C2B"/>
    <w:rsid w:val="006D5D68"/>
    <w:rsid w:val="006E05A7"/>
    <w:rsid w:val="006F2505"/>
    <w:rsid w:val="007060DA"/>
    <w:rsid w:val="007925BA"/>
    <w:rsid w:val="007F284E"/>
    <w:rsid w:val="00811DBF"/>
    <w:rsid w:val="00815C1D"/>
    <w:rsid w:val="008169C3"/>
    <w:rsid w:val="00842172"/>
    <w:rsid w:val="00843E41"/>
    <w:rsid w:val="00850608"/>
    <w:rsid w:val="00857013"/>
    <w:rsid w:val="008D3EF8"/>
    <w:rsid w:val="009030F8"/>
    <w:rsid w:val="00912C41"/>
    <w:rsid w:val="0092514C"/>
    <w:rsid w:val="00945603"/>
    <w:rsid w:val="00950496"/>
    <w:rsid w:val="00963F1E"/>
    <w:rsid w:val="009F175F"/>
    <w:rsid w:val="00AB5946"/>
    <w:rsid w:val="00AC79B5"/>
    <w:rsid w:val="00B12672"/>
    <w:rsid w:val="00B2626C"/>
    <w:rsid w:val="00B73D82"/>
    <w:rsid w:val="00BB03B2"/>
    <w:rsid w:val="00BD0163"/>
    <w:rsid w:val="00C17466"/>
    <w:rsid w:val="00C44BFB"/>
    <w:rsid w:val="00D02BC8"/>
    <w:rsid w:val="00D0494E"/>
    <w:rsid w:val="00D12E33"/>
    <w:rsid w:val="00DB2D4E"/>
    <w:rsid w:val="00DB458B"/>
    <w:rsid w:val="00DE51F4"/>
    <w:rsid w:val="00DE692A"/>
    <w:rsid w:val="00E03726"/>
    <w:rsid w:val="00E05C8E"/>
    <w:rsid w:val="00E120C3"/>
    <w:rsid w:val="00E36209"/>
    <w:rsid w:val="00E3634D"/>
    <w:rsid w:val="00EF3038"/>
    <w:rsid w:val="00EF410E"/>
    <w:rsid w:val="00F37253"/>
    <w:rsid w:val="00F42C4F"/>
    <w:rsid w:val="00F814E9"/>
    <w:rsid w:val="00FA0F48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3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5">
    <w:name w:val="heading 5"/>
    <w:basedOn w:val="a"/>
    <w:next w:val="a"/>
    <w:link w:val="50"/>
    <w:qFormat/>
    <w:rsid w:val="008169C3"/>
    <w:pPr>
      <w:keepNext/>
      <w:tabs>
        <w:tab w:val="left" w:pos="5954"/>
      </w:tabs>
      <w:suppressAutoHyphens w:val="0"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534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506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5A7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50">
    <w:name w:val="Заголовок 5 Знак"/>
    <w:basedOn w:val="a0"/>
    <w:link w:val="5"/>
    <w:rsid w:val="00816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120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12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3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5">
    <w:name w:val="heading 5"/>
    <w:basedOn w:val="a"/>
    <w:next w:val="a"/>
    <w:link w:val="50"/>
    <w:qFormat/>
    <w:rsid w:val="008169C3"/>
    <w:pPr>
      <w:keepNext/>
      <w:tabs>
        <w:tab w:val="left" w:pos="5954"/>
      </w:tabs>
      <w:suppressAutoHyphens w:val="0"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534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506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5A7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50">
    <w:name w:val="Заголовок 5 Знак"/>
    <w:basedOn w:val="a0"/>
    <w:link w:val="5"/>
    <w:rsid w:val="00816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120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12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1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4C6E-61A4-4D1C-A29F-C42C72FA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Комиссаренко Марина Валерьевна</dc:creator>
  <cp:keywords/>
  <dc:description/>
  <cp:lastModifiedBy>мастер</cp:lastModifiedBy>
  <cp:revision>70</cp:revision>
  <cp:lastPrinted>2018-08-15T06:41:00Z</cp:lastPrinted>
  <dcterms:created xsi:type="dcterms:W3CDTF">2016-02-11T06:13:00Z</dcterms:created>
  <dcterms:modified xsi:type="dcterms:W3CDTF">2018-08-23T06:03:00Z</dcterms:modified>
</cp:coreProperties>
</file>