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885"/>
        <w:gridCol w:w="4650"/>
      </w:tblGrid>
      <w:tr w:rsidR="00B76F2E">
        <w:trPr>
          <w:trHeight w:hRule="exact" w:val="1110"/>
        </w:trPr>
        <w:tc>
          <w:tcPr>
            <w:tcW w:w="9075" w:type="dxa"/>
            <w:gridSpan w:val="4"/>
          </w:tcPr>
          <w:p w:rsidR="00B76F2E" w:rsidRDefault="00B76F2E">
            <w:pPr>
              <w:rPr>
                <w:rStyle w:val="FakeCharacterStyle"/>
              </w:rPr>
            </w:pPr>
            <w:bookmarkStart w:id="0" w:name="_GoBack"/>
            <w:bookmarkEnd w:id="0"/>
          </w:p>
        </w:tc>
      </w:tr>
      <w:tr w:rsidR="00B76F2E">
        <w:trPr>
          <w:trHeight w:val="3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B76F2E" w:rsidRDefault="00300F9D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ПАСПОРТ</w:t>
            </w:r>
          </w:p>
        </w:tc>
      </w:tr>
      <w:tr w:rsidR="00B76F2E">
        <w:trPr>
          <w:trHeight w:val="3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B76F2E" w:rsidRDefault="00300F9D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муниципальной программы</w:t>
            </w:r>
          </w:p>
        </w:tc>
      </w:tr>
      <w:tr w:rsidR="00B76F2E">
        <w:trPr>
          <w:trHeight w:val="100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B76F2E" w:rsidRDefault="00300F9D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«Развитие дорожного хозяйства, транспортной инфраструктуры и благоустройство территории Арамильского городского округа до 2024 года»</w:t>
            </w:r>
          </w:p>
        </w:tc>
      </w:tr>
      <w:tr w:rsidR="00B76F2E">
        <w:trPr>
          <w:trHeight w:hRule="exact" w:val="765"/>
        </w:trPr>
        <w:tc>
          <w:tcPr>
            <w:tcW w:w="9075" w:type="dxa"/>
            <w:gridSpan w:val="4"/>
          </w:tcPr>
          <w:p w:rsidR="00B76F2E" w:rsidRDefault="00B76F2E">
            <w:pPr>
              <w:rPr>
                <w:rStyle w:val="FakeCharacterStyle"/>
              </w:rPr>
            </w:pPr>
          </w:p>
        </w:tc>
      </w:tr>
      <w:tr w:rsidR="00B76F2E">
        <w:trPr>
          <w:trHeight w:val="13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Ответственный исполнитель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Администрация Арамильского городского округа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Сроки реализации муниципальной программы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2020 -</w:t>
            </w:r>
          </w:p>
        </w:tc>
        <w:tc>
          <w:tcPr>
            <w:tcW w:w="46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2024 годы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Цели и задачи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Цель 1. Совершенствование комплексной системы профилактики и снижение аварийности на дорогах</w:t>
            </w:r>
          </w:p>
        </w:tc>
      </w:tr>
      <w:tr w:rsidR="00B76F2E">
        <w:trPr>
          <w:trHeight w:val="6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1.1. Повышение безопасности дорожного движения</w:t>
            </w:r>
          </w:p>
        </w:tc>
      </w:tr>
      <w:tr w:rsidR="00B76F2E">
        <w:trPr>
          <w:trHeight w:val="13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2. Приведение в удовлетворительное состояние, обеспечение сохранности автомобильных дорог общего пользования местного значения</w:t>
            </w:r>
          </w:p>
        </w:tc>
      </w:tr>
      <w:tr w:rsidR="00B76F2E">
        <w:trPr>
          <w:trHeight w:val="13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2.1. Обеспечение нормативного эксплуатационного состояния и обустройство дорог Арамильского городского округа</w:t>
            </w:r>
          </w:p>
        </w:tc>
      </w:tr>
      <w:tr w:rsidR="00B76F2E">
        <w:trPr>
          <w:trHeight w:val="6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3. Обеспечение доступности и качества транспортных услуг</w:t>
            </w:r>
          </w:p>
        </w:tc>
      </w:tr>
      <w:tr w:rsidR="00B76F2E">
        <w:trPr>
          <w:trHeight w:val="229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3.1.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Арамильского городского округа (далее – транспортный спрос)</w:t>
            </w:r>
          </w:p>
        </w:tc>
      </w:tr>
    </w:tbl>
    <w:p w:rsidR="00B76F2E" w:rsidRDefault="00B76F2E">
      <w:pPr>
        <w:sectPr w:rsidR="00B76F2E">
          <w:pgSz w:w="12240" w:h="15840"/>
          <w:pgMar w:top="0" w:right="1440" w:bottom="0" w:left="144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B76F2E">
        <w:trPr>
          <w:trHeight w:hRule="exact" w:val="945"/>
        </w:trPr>
        <w:tc>
          <w:tcPr>
            <w:tcW w:w="9075" w:type="dxa"/>
            <w:gridSpan w:val="3"/>
          </w:tcPr>
          <w:p w:rsidR="00B76F2E" w:rsidRDefault="00B76F2E">
            <w:pPr>
              <w:rPr>
                <w:rStyle w:val="FakeCharacterStyle"/>
              </w:rPr>
            </w:pPr>
          </w:p>
        </w:tc>
      </w:tr>
      <w:tr w:rsidR="00B76F2E">
        <w:trPr>
          <w:trHeight w:val="13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4. Приведение в удовлетворительное состояние, обеспечение сохранности и строительство новых тротуаров в Арамильском городском округе</w:t>
            </w:r>
          </w:p>
        </w:tc>
      </w:tr>
      <w:tr w:rsidR="00B76F2E">
        <w:trPr>
          <w:trHeight w:val="13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4.1. Обеспечение нормативного эксплуатационного состояния и обустройство тротуаров Арамильского городского округа</w:t>
            </w:r>
          </w:p>
        </w:tc>
      </w:tr>
      <w:tr w:rsidR="00B76F2E">
        <w:trPr>
          <w:trHeight w:val="6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5. Обеспечение условий для реализации мероприятий муниципальной программы</w:t>
            </w:r>
          </w:p>
        </w:tc>
      </w:tr>
      <w:tr w:rsidR="00B76F2E">
        <w:trPr>
          <w:trHeight w:val="13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5.1. Обеспечение эффективной деятельности МБУ «Арамильская Служба Заказчика» по реализации муниципальной программы</w:t>
            </w:r>
          </w:p>
        </w:tc>
      </w:tr>
      <w:tr w:rsidR="00B76F2E">
        <w:trPr>
          <w:trHeight w:val="13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6. Содержание территории общего пользования Арамильского городского округа и расположенных на ней объектов в надлежащем состоянии</w:t>
            </w:r>
          </w:p>
        </w:tc>
      </w:tr>
      <w:tr w:rsidR="00B76F2E">
        <w:trPr>
          <w:trHeight w:val="16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6.1. Организация и поддержание оптимального функционального и эстетического состояния мест общего пользования на территории Арамильского городского округа</w:t>
            </w:r>
          </w:p>
        </w:tc>
      </w:tr>
      <w:tr w:rsidR="00B76F2E">
        <w:trPr>
          <w:trHeight w:val="135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Перечень подпрограмм муниципальной программы (при их наличии)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1. Развитие дорожного хозяйства на территории Арамильского городского округа до 2024 года</w:t>
            </w:r>
          </w:p>
        </w:tc>
      </w:tr>
      <w:tr w:rsidR="00B76F2E">
        <w:trPr>
          <w:trHeight w:val="100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2. Развитие транспортной инфраструктуры на территории Арамильского городского округа до 2024 года</w:t>
            </w:r>
          </w:p>
        </w:tc>
      </w:tr>
      <w:tr w:rsidR="00B76F2E">
        <w:trPr>
          <w:trHeight w:val="13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3. Обеспечение содержания, ремонта и нового строительства тротуаров на территории Арамильского городского округа до 2024 года</w:t>
            </w:r>
          </w:p>
        </w:tc>
      </w:tr>
      <w:tr w:rsidR="00B76F2E">
        <w:trPr>
          <w:trHeight w:val="163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4. Обеспечение реализации муниципальной программы «Развитие дорожного хозяйств, транспортной инфраструктуры и благоустройство территории Арамильского городского округа до 2024 года»</w:t>
            </w:r>
          </w:p>
        </w:tc>
      </w:tr>
    </w:tbl>
    <w:p w:rsidR="00B76F2E" w:rsidRDefault="00B76F2E">
      <w:pPr>
        <w:sectPr w:rsidR="00B76F2E">
          <w:pgSz w:w="12240" w:h="15840"/>
          <w:pgMar w:top="0" w:right="1440" w:bottom="0" w:left="144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B76F2E">
        <w:trPr>
          <w:trHeight w:hRule="exact" w:val="945"/>
        </w:trPr>
        <w:tc>
          <w:tcPr>
            <w:tcW w:w="9075" w:type="dxa"/>
            <w:gridSpan w:val="3"/>
          </w:tcPr>
          <w:p w:rsidR="00B76F2E" w:rsidRDefault="00B76F2E">
            <w:pPr>
              <w:rPr>
                <w:rStyle w:val="FakeCharacterStyle"/>
              </w:rPr>
            </w:pP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5. Благоустройство территории Арамильского городского округа до 2024 года</w:t>
            </w:r>
          </w:p>
        </w:tc>
      </w:tr>
      <w:tr w:rsidR="00B76F2E">
        <w:trPr>
          <w:trHeight w:val="136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1. Снижение числа ДТП на дорогах Арамильского городского округа по сравнению с уровнем 2019</w:t>
            </w:r>
          </w:p>
        </w:tc>
      </w:tr>
      <w:tr w:rsidR="00B76F2E">
        <w:trPr>
          <w:trHeight w:val="69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2. Количество модернизированных светофорных объектов</w:t>
            </w:r>
          </w:p>
        </w:tc>
      </w:tr>
      <w:tr w:rsidR="00B76F2E">
        <w:trPr>
          <w:trHeight w:val="135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3. Доля автомобильных дорог общего пользования, не отвечающих нормативным требованиям в общей протяженности автомобильных дорог общего пользования</w:t>
            </w:r>
          </w:p>
        </w:tc>
      </w:tr>
      <w:tr w:rsidR="00B76F2E">
        <w:trPr>
          <w:trHeight w:val="69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4. Мониторинг соблюдения утвержденного расписания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5. Количество единиц транспорта, работающих на муниципальных маршрутах</w:t>
            </w:r>
          </w:p>
        </w:tc>
      </w:tr>
      <w:tr w:rsidR="00B76F2E">
        <w:trPr>
          <w:trHeight w:val="136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6. Доля выполненных городским пассажирским транспортом рейсов от общего числа рейсов, предусмотренных планом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7. Количество вновь обустроенных остановок маршрутной сети общественного транспорта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8. Количество разработанной проектной документации остановочных комплексов на территории АГО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9. Доля тротуаров, не отвечающих нормативным требованиям в общей протяженности тротуаров</w:t>
            </w:r>
          </w:p>
        </w:tc>
      </w:tr>
      <w:tr w:rsidR="00B76F2E">
        <w:trPr>
          <w:trHeight w:val="69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10. Количество вновь построенных тротуаров</w:t>
            </w:r>
          </w:p>
        </w:tc>
      </w:tr>
      <w:tr w:rsidR="00B76F2E">
        <w:trPr>
          <w:trHeight w:val="69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11. Уровень выполнения значений целевых показателей муниципальной программы</w:t>
            </w:r>
          </w:p>
        </w:tc>
      </w:tr>
      <w:tr w:rsidR="00B76F2E">
        <w:trPr>
          <w:trHeight w:val="102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12. Повышение уровня удовлетворенности горожан комфортностью условий проживания</w:t>
            </w:r>
          </w:p>
        </w:tc>
      </w:tr>
    </w:tbl>
    <w:p w:rsidR="00B76F2E" w:rsidRDefault="00B76F2E">
      <w:pPr>
        <w:sectPr w:rsidR="00B76F2E">
          <w:pgSz w:w="12240" w:h="15840"/>
          <w:pgMar w:top="0" w:right="1440" w:bottom="0" w:left="144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B76F2E">
        <w:trPr>
          <w:trHeight w:hRule="exact" w:val="945"/>
        </w:trPr>
        <w:tc>
          <w:tcPr>
            <w:tcW w:w="9075" w:type="dxa"/>
            <w:gridSpan w:val="3"/>
          </w:tcPr>
          <w:p w:rsidR="00B76F2E" w:rsidRDefault="00B76F2E">
            <w:pPr>
              <w:rPr>
                <w:rStyle w:val="FakeCharacterStyle"/>
              </w:rPr>
            </w:pPr>
          </w:p>
        </w:tc>
      </w:tr>
      <w:tr w:rsidR="00B76F2E">
        <w:trPr>
          <w:trHeight w:val="69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13. Обеспечение содержания памятников   и мемориалов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Обьем финансирования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ВСЕГО: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138 796,1 тыс. рублей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программы по годам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в том числе:</w:t>
            </w:r>
          </w:p>
        </w:tc>
      </w:tr>
      <w:tr w:rsidR="00B76F2E">
        <w:trPr>
          <w:trHeight w:val="165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реализации, тыс. рублей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 xml:space="preserve">2020 год - 69 541,1 тыс. рублей, </w:t>
            </w:r>
            <w:r>
              <w:rPr>
                <w:rStyle w:val="CharacterStyle5"/>
              </w:rPr>
              <w:br/>
              <w:t xml:space="preserve">2021 год - 20 615,0 тыс. рублей, </w:t>
            </w:r>
            <w:r>
              <w:rPr>
                <w:rStyle w:val="CharacterStyle5"/>
              </w:rPr>
              <w:br/>
              <w:t xml:space="preserve">2022 год - 17 390,0 тыс. рублей, </w:t>
            </w:r>
            <w:r>
              <w:rPr>
                <w:rStyle w:val="CharacterStyle5"/>
              </w:rPr>
              <w:br/>
              <w:t xml:space="preserve">2023 год - 17 490,0 тыс. рублей, </w:t>
            </w:r>
            <w:r>
              <w:rPr>
                <w:rStyle w:val="CharacterStyle5"/>
              </w:rPr>
              <w:br/>
              <w:t>2024 год - 13 760,0 тыс. рублей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из них: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областной бюджет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53 577,2 тыс. рублей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</w:tc>
      </w:tr>
      <w:tr w:rsidR="00B76F2E">
        <w:trPr>
          <w:trHeight w:val="166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2020 год - 53 577,2 тыс. рублей, </w:t>
            </w:r>
            <w:r>
              <w:rPr>
                <w:rStyle w:val="CharacterStyle11"/>
              </w:rPr>
              <w:br/>
              <w:t xml:space="preserve">2021 год - 0,0 тыс. рублей, </w:t>
            </w:r>
            <w:r>
              <w:rPr>
                <w:rStyle w:val="CharacterStyle11"/>
              </w:rPr>
              <w:br/>
              <w:t xml:space="preserve">2022 год - 0,0 тыс. рублей, </w:t>
            </w:r>
            <w:r>
              <w:rPr>
                <w:rStyle w:val="CharacterStyle11"/>
              </w:rPr>
              <w:br/>
              <w:t xml:space="preserve">2023 год - 0,0 тыс. рублей, </w:t>
            </w:r>
            <w:r>
              <w:rPr>
                <w:rStyle w:val="CharacterStyle11"/>
              </w:rPr>
              <w:br/>
              <w:t>2024 год - 0,0 тыс. рублей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местный бюджет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85 218,9 тыс. рублей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</w:tc>
      </w:tr>
      <w:tr w:rsidR="00B76F2E">
        <w:trPr>
          <w:trHeight w:val="168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2020 год - 15 963,9 тыс. рублей, </w:t>
            </w:r>
            <w:r>
              <w:rPr>
                <w:rStyle w:val="CharacterStyle11"/>
              </w:rPr>
              <w:br/>
              <w:t xml:space="preserve">2021 год - 20 615,0 тыс. рублей, </w:t>
            </w:r>
            <w:r>
              <w:rPr>
                <w:rStyle w:val="CharacterStyle11"/>
              </w:rPr>
              <w:br/>
              <w:t xml:space="preserve">2022 год - 17 390,0 тыс. рублей, </w:t>
            </w:r>
            <w:r>
              <w:rPr>
                <w:rStyle w:val="CharacterStyle11"/>
              </w:rPr>
              <w:br/>
              <w:t xml:space="preserve">2023 год - 17 490,0 тыс. рублей, </w:t>
            </w:r>
            <w:r>
              <w:rPr>
                <w:rStyle w:val="CharacterStyle11"/>
              </w:rPr>
              <w:br/>
              <w:t>2024 год - 13 760,0 тыс. рублей</w:t>
            </w:r>
          </w:p>
        </w:tc>
      </w:tr>
      <w:tr w:rsidR="00B76F2E">
        <w:trPr>
          <w:trHeight w:val="3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Адрес размещения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Pr="00450BB7" w:rsidRDefault="00450BB7">
            <w:pPr>
              <w:pStyle w:val="ParagraphStyle8"/>
              <w:rPr>
                <w:rStyle w:val="CharacterStyle8"/>
                <w:lang w:val="en-US"/>
              </w:rPr>
            </w:pPr>
            <w:r>
              <w:rPr>
                <w:rStyle w:val="CharacterStyle8"/>
                <w:lang w:val="en-US"/>
              </w:rPr>
              <w:t>www.aramilgo.ru</w:t>
            </w: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13"/>
              <w:rPr>
                <w:rStyle w:val="CharacterStyle13"/>
              </w:rPr>
            </w:pP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программы в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13"/>
              <w:rPr>
                <w:rStyle w:val="CharacterStyle13"/>
              </w:rPr>
            </w:pP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информационно-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13"/>
              <w:rPr>
                <w:rStyle w:val="CharacterStyle13"/>
              </w:rPr>
            </w:pPr>
          </w:p>
        </w:tc>
      </w:tr>
      <w:tr w:rsidR="00B76F2E">
        <w:trPr>
          <w:trHeight w:val="360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-телекоммуникационной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13"/>
              <w:rPr>
                <w:rStyle w:val="CharacterStyle13"/>
              </w:rPr>
            </w:pPr>
          </w:p>
        </w:tc>
      </w:tr>
      <w:tr w:rsidR="00B76F2E">
        <w:trPr>
          <w:trHeight w:val="375"/>
        </w:trPr>
        <w:tc>
          <w:tcPr>
            <w:tcW w:w="285" w:type="dxa"/>
          </w:tcPr>
          <w:p w:rsidR="00B76F2E" w:rsidRDefault="00B76F2E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300F9D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сети Интернет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F2E" w:rsidRDefault="00B76F2E">
            <w:pPr>
              <w:pStyle w:val="ParagraphStyle15"/>
              <w:rPr>
                <w:rStyle w:val="CharacterStyle15"/>
              </w:rPr>
            </w:pPr>
          </w:p>
        </w:tc>
      </w:tr>
    </w:tbl>
    <w:p w:rsidR="00300F9D" w:rsidRDefault="00300F9D"/>
    <w:sectPr w:rsidR="00300F9D">
      <w:pgSz w:w="12240" w:h="15840"/>
      <w:pgMar w:top="0" w:right="1440" w:bottom="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E"/>
    <w:rsid w:val="002D5920"/>
    <w:rsid w:val="00300F9D"/>
    <w:rsid w:val="00450BB7"/>
    <w:rsid w:val="007E5B9E"/>
    <w:rsid w:val="00B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1ED2E-EA94-4BEF-807E-B1A483B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115"/>
    </w:pPr>
  </w:style>
  <w:style w:type="paragraph" w:customStyle="1" w:styleId="ParagraphStyle8">
    <w:name w:val="ParagraphStyle8"/>
    <w:hidden/>
    <w:pPr>
      <w:ind w:left="115" w:right="115"/>
      <w:jc w:val="both"/>
    </w:pPr>
  </w:style>
  <w:style w:type="paragraph" w:customStyle="1" w:styleId="ParagraphStyle9">
    <w:name w:val="ParagraphStyle9"/>
    <w:hidden/>
    <w:pPr>
      <w:ind w:left="115"/>
    </w:pPr>
  </w:style>
  <w:style w:type="paragraph" w:customStyle="1" w:styleId="ParagraphStyle10">
    <w:name w:val="ParagraphStyle10"/>
    <w:hidden/>
    <w:pPr>
      <w:ind w:left="115" w:right="115"/>
      <w:jc w:val="both"/>
    </w:pPr>
  </w:style>
  <w:style w:type="paragraph" w:customStyle="1" w:styleId="ParagraphStyle11">
    <w:name w:val="ParagraphStyle11"/>
    <w:hidden/>
    <w:pPr>
      <w:ind w:left="115"/>
    </w:pPr>
  </w:style>
  <w:style w:type="paragraph" w:customStyle="1" w:styleId="ParagraphStyle12">
    <w:name w:val="ParagraphStyle12"/>
    <w:hidden/>
    <w:pPr>
      <w:ind w:left="115"/>
    </w:pPr>
  </w:style>
  <w:style w:type="paragraph" w:customStyle="1" w:styleId="ParagraphStyle13">
    <w:name w:val="ParagraphStyle13"/>
    <w:hidden/>
    <w:pPr>
      <w:ind w:left="115"/>
    </w:pPr>
  </w:style>
  <w:style w:type="paragraph" w:customStyle="1" w:styleId="ParagraphStyle14">
    <w:name w:val="ParagraphStyle14"/>
    <w:hidden/>
    <w:pPr>
      <w:ind w:left="115"/>
    </w:pPr>
  </w:style>
  <w:style w:type="paragraph" w:customStyle="1" w:styleId="ParagraphStyle15">
    <w:name w:val="ParagraphStyle15"/>
    <w:hidden/>
    <w:pPr>
      <w:ind w:left="115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Слепухина Светлана Анатольевна</cp:lastModifiedBy>
  <cp:revision>2</cp:revision>
  <dcterms:created xsi:type="dcterms:W3CDTF">2021-10-22T10:13:00Z</dcterms:created>
  <dcterms:modified xsi:type="dcterms:W3CDTF">2021-10-22T10:13:00Z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17.2.15.0</vt:lpwstr>
  </property>
</Properties>
</file>