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340D" w:rsidRDefault="00F0340D">
      <w:pPr>
        <w:spacing w:line="150" w:lineRule="exact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885"/>
        <w:gridCol w:w="5640"/>
      </w:tblGrid>
      <w:tr w:rsidR="00F0340D" w:rsidRPr="000F53D0" w:rsidTr="00FB6FF5">
        <w:trPr>
          <w:trHeight w:val="3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:rsidR="00FB6FF5" w:rsidRPr="000F53D0" w:rsidRDefault="00FB6FF5" w:rsidP="00FB6FF5">
            <w:pPr>
              <w:ind w:left="496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53D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Приложение № 1 к постановлению Администрации Арамильского городского округа </w:t>
            </w:r>
          </w:p>
          <w:p w:rsidR="00FB6FF5" w:rsidRPr="0030348F" w:rsidRDefault="00FB6FF5" w:rsidP="00FB6FF5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2271B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    </w:t>
            </w:r>
            <w:r w:rsidR="0030348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0F53D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от</w:t>
            </w:r>
            <w:r w:rsidR="0030348F" w:rsidRPr="0030348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07.</w:t>
            </w:r>
            <w:r w:rsidR="0030348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12.2022 № 617</w:t>
            </w:r>
          </w:p>
          <w:p w:rsidR="00FB6FF5" w:rsidRPr="0030348F" w:rsidRDefault="00FB6FF5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</w:p>
          <w:p w:rsidR="00F0340D" w:rsidRPr="000F53D0" w:rsidRDefault="008E039D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0F53D0">
              <w:rPr>
                <w:rStyle w:val="CharacterStyle0"/>
                <w:rFonts w:ascii="Liberation Serif" w:eastAsia="Calibri" w:hAnsi="Liberation Serif" w:cs="Liberation Serif"/>
                <w:b w:val="0"/>
              </w:rPr>
              <w:t>ПАСПОРТ</w:t>
            </w:r>
          </w:p>
        </w:tc>
      </w:tr>
      <w:tr w:rsidR="00F0340D" w:rsidRPr="000F53D0" w:rsidTr="00FB6FF5">
        <w:trPr>
          <w:trHeight w:val="3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:rsidR="00F0340D" w:rsidRPr="000F53D0" w:rsidRDefault="008E039D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0F53D0">
              <w:rPr>
                <w:rStyle w:val="CharacterStyle0"/>
                <w:rFonts w:ascii="Liberation Serif" w:eastAsia="Calibri" w:hAnsi="Liberation Serif" w:cs="Liberation Serif"/>
                <w:b w:val="0"/>
              </w:rPr>
              <w:t>муниципальной программы</w:t>
            </w:r>
          </w:p>
        </w:tc>
      </w:tr>
      <w:tr w:rsidR="00F0340D" w:rsidRPr="000F53D0" w:rsidTr="00FB6FF5">
        <w:trPr>
          <w:trHeight w:val="163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:rsidR="00F0340D" w:rsidRPr="000F53D0" w:rsidRDefault="008E039D" w:rsidP="00FB6FF5">
            <w:pPr>
              <w:pStyle w:val="ParagraphStyle0"/>
              <w:rPr>
                <w:rStyle w:val="CharacterStyle0"/>
                <w:rFonts w:ascii="Liberation Serif" w:eastAsia="Calibri" w:hAnsi="Liberation Serif" w:cs="Liberation Serif"/>
                <w:b w:val="0"/>
              </w:rPr>
            </w:pPr>
            <w:r w:rsidRPr="000F53D0">
              <w:rPr>
                <w:rStyle w:val="CharacterStyle0"/>
                <w:rFonts w:ascii="Liberation Serif" w:eastAsia="Calibri" w:hAnsi="Liberation Serif" w:cs="Liberation Serif"/>
                <w:b w:val="0"/>
              </w:rPr>
              <w:t>«Развитие кадровой политики в системе муниципального управления, противодействие коррупции, реализация мероприятий по улучшению условий и</w:t>
            </w:r>
            <w:r w:rsidR="00FB6FF5" w:rsidRPr="000F53D0">
              <w:rPr>
                <w:rStyle w:val="CharacterStyle0"/>
                <w:rFonts w:ascii="Liberation Serif" w:eastAsia="Calibri" w:hAnsi="Liberation Serif" w:cs="Liberation Serif"/>
                <w:b w:val="0"/>
              </w:rPr>
              <w:t> </w:t>
            </w:r>
            <w:r w:rsidRPr="000F53D0">
              <w:rPr>
                <w:rStyle w:val="CharacterStyle0"/>
                <w:rFonts w:ascii="Liberation Serif" w:eastAsia="Calibri" w:hAnsi="Liberation Serif" w:cs="Liberation Serif"/>
                <w:b w:val="0"/>
              </w:rPr>
              <w:t>охраны труда, и развитие информационного общества в Арамильском городском округе до 2024 года»</w:t>
            </w:r>
          </w:p>
        </w:tc>
      </w:tr>
      <w:tr w:rsidR="00F0340D" w:rsidRPr="000F53D0" w:rsidTr="00FB6FF5">
        <w:trPr>
          <w:trHeight w:val="133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"/>
                <w:rFonts w:ascii="Liberation Serif" w:eastAsia="Calibri" w:hAnsi="Liberation Serif" w:cs="Liberation Serif"/>
              </w:rPr>
              <w:t>Ответственный исполнитель муниципальной программы</w:t>
            </w:r>
          </w:p>
        </w:tc>
        <w:tc>
          <w:tcPr>
            <w:tcW w:w="652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2"/>
              <w:jc w:val="both"/>
              <w:rPr>
                <w:rStyle w:val="CharacterStyle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2"/>
                <w:rFonts w:ascii="Liberation Serif" w:eastAsia="Calibri" w:hAnsi="Liberation Serif" w:cs="Liberation Serif"/>
              </w:rPr>
              <w:t>Администрация Арамильского городского округа</w:t>
            </w:r>
          </w:p>
        </w:tc>
      </w:tr>
      <w:tr w:rsidR="00F0340D" w:rsidRPr="000F53D0" w:rsidTr="00FB6FF5">
        <w:trPr>
          <w:trHeight w:val="100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"/>
                <w:rFonts w:ascii="Liberation Serif" w:eastAsia="Calibri" w:hAnsi="Liberation Serif" w:cs="Liberation Serif"/>
              </w:rPr>
              <w:t>Сроки реализации муниципальной программы</w:t>
            </w:r>
          </w:p>
        </w:tc>
        <w:tc>
          <w:tcPr>
            <w:tcW w:w="885" w:type="dxa"/>
            <w:tcBorders>
              <w:top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3"/>
              <w:jc w:val="both"/>
              <w:rPr>
                <w:rStyle w:val="CharacterStyle3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3"/>
                <w:rFonts w:ascii="Liberation Serif" w:eastAsia="Calibri" w:hAnsi="Liberation Serif" w:cs="Liberation Serif"/>
              </w:rPr>
              <w:t>2020 -</w:t>
            </w:r>
          </w:p>
        </w:tc>
        <w:tc>
          <w:tcPr>
            <w:tcW w:w="56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2"/>
              <w:jc w:val="both"/>
              <w:rPr>
                <w:rStyle w:val="CharacterStyle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2"/>
                <w:rFonts w:ascii="Liberation Serif" w:eastAsia="Calibri" w:hAnsi="Liberation Serif" w:cs="Liberation Serif"/>
              </w:rPr>
              <w:t>2024 годы</w:t>
            </w:r>
          </w:p>
        </w:tc>
      </w:tr>
      <w:tr w:rsidR="00F0340D" w:rsidRPr="000F53D0" w:rsidTr="00CA34A0">
        <w:trPr>
          <w:trHeight w:val="1571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"/>
                <w:rFonts w:ascii="Liberation Serif" w:eastAsia="Calibri" w:hAnsi="Liberation Serif" w:cs="Liberation Serif"/>
              </w:rPr>
              <w:t>Цели и задачи муниципальной программы</w:t>
            </w:r>
          </w:p>
        </w:tc>
        <w:tc>
          <w:tcPr>
            <w:tcW w:w="652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2"/>
              <w:jc w:val="both"/>
              <w:rPr>
                <w:rStyle w:val="CharacterStyle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2"/>
                <w:rFonts w:ascii="Liberation Serif" w:eastAsia="Calibri" w:hAnsi="Liberation Serif" w:cs="Liberation Serif"/>
              </w:rPr>
              <w:t>Цель 1.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Арамильского городского округа</w:t>
            </w:r>
          </w:p>
        </w:tc>
      </w:tr>
      <w:tr w:rsidR="00F0340D" w:rsidRPr="000F53D0" w:rsidTr="00FB6FF5">
        <w:trPr>
          <w:trHeight w:val="132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1.1. Совершенствование правового регулирования муниципального управления Арамильского городского округа в сфере кадровой политики</w:t>
            </w:r>
          </w:p>
        </w:tc>
      </w:tr>
      <w:tr w:rsidR="00F0340D" w:rsidRPr="000F53D0" w:rsidTr="00CA34A0">
        <w:trPr>
          <w:trHeight w:val="1613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1.2. Создание эффективной целостной системы и механизмов формирования и функционирования кадрового состава в сфере муниципальной службы в Арамильском городском округе на основе внедрения новых принципов кадровой политики</w:t>
            </w:r>
          </w:p>
        </w:tc>
      </w:tr>
      <w:tr w:rsidR="00F0340D" w:rsidRPr="000F53D0" w:rsidTr="00760105">
        <w:trPr>
          <w:trHeight w:val="1022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1.3. Обеспечение взаимосвязи государственной гражданской и муниципальной службы в Арамильском городском округе</w:t>
            </w:r>
          </w:p>
        </w:tc>
      </w:tr>
      <w:tr w:rsidR="00F0340D" w:rsidRPr="000F53D0" w:rsidTr="00FB6FF5">
        <w:trPr>
          <w:trHeight w:val="100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Цель 2. Искоренение причин и условий, порождающих коррупцию на территории Арамильского городского округа</w:t>
            </w:r>
          </w:p>
        </w:tc>
      </w:tr>
      <w:tr w:rsidR="00F0340D" w:rsidRPr="000F53D0" w:rsidTr="00FB6FF5">
        <w:trPr>
          <w:trHeight w:val="9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2.1. Обеспечение выполнения на территории Арамильского городского округа норм антикоррупционного поведения</w:t>
            </w:r>
          </w:p>
        </w:tc>
      </w:tr>
      <w:tr w:rsidR="00F0340D" w:rsidRPr="000F53D0" w:rsidTr="00FB6FF5">
        <w:trPr>
          <w:trHeight w:val="6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Цель 3. Обеспечение безопасных условий и охраны труда, пожарной безопасности</w:t>
            </w:r>
          </w:p>
        </w:tc>
      </w:tr>
      <w:tr w:rsidR="00F0340D" w:rsidRPr="000F53D0" w:rsidTr="00FB6FF5">
        <w:trPr>
          <w:trHeight w:val="132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3.1. Организация работы по обеспечению выполнения муниципальными служащими и работниками требований охраны труда и пожарной безопасности</w:t>
            </w:r>
          </w:p>
        </w:tc>
      </w:tr>
      <w:tr w:rsidR="00F0340D" w:rsidRPr="000F53D0" w:rsidTr="00CA34A0">
        <w:trPr>
          <w:trHeight w:val="1688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3.2. Обеспечение контроля за соблюдением муниципальными служащими и работниками законов и иных нормативных правовых актов об охране труда и пожарной безопасности, локальных нормативных актов муниципального органа</w:t>
            </w:r>
          </w:p>
        </w:tc>
      </w:tr>
      <w:tr w:rsidR="00F0340D" w:rsidRPr="000F53D0" w:rsidTr="00CA34A0">
        <w:trPr>
          <w:trHeight w:val="1981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3.3.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 и пожарной безопасности</w:t>
            </w:r>
          </w:p>
        </w:tc>
      </w:tr>
      <w:tr w:rsidR="00F0340D" w:rsidRPr="000F53D0" w:rsidTr="00CA34A0">
        <w:trPr>
          <w:trHeight w:val="1272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3.4. Информирование и консультирование муниципальных служащих и работников Администрации, в том числе руководителя по вопросам охраны труда</w:t>
            </w:r>
          </w:p>
        </w:tc>
      </w:tr>
      <w:tr w:rsidR="00F0340D" w:rsidRPr="000F53D0" w:rsidTr="00760105">
        <w:trPr>
          <w:trHeight w:val="12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CA34A0" w:rsidRPr="000F53D0" w:rsidRDefault="008E039D" w:rsidP="00CA34A0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3.5. Изучение и распространение передового опыта по охране труда и пожарной безопасности, пропаганда вопросов охраны труда и пожарной безопасности</w:t>
            </w:r>
          </w:p>
        </w:tc>
      </w:tr>
      <w:tr w:rsidR="00F0340D" w:rsidRPr="000F53D0" w:rsidTr="00CA34A0">
        <w:trPr>
          <w:trHeight w:val="1561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2271BA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Цель 4. Совершенствование информационно-технической инфраструктуры Арамильского городского округа, в т.ч. для предоставления государственных и муниципальных услуг в электронном виде</w:t>
            </w:r>
          </w:p>
        </w:tc>
      </w:tr>
      <w:tr w:rsidR="00F0340D" w:rsidRPr="000F53D0" w:rsidTr="00453216">
        <w:trPr>
          <w:trHeight w:val="196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2271BA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Задача 4.1.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Арамильского городского округа</w:t>
            </w:r>
          </w:p>
        </w:tc>
      </w:tr>
      <w:tr w:rsidR="00F0340D" w:rsidRPr="000F53D0" w:rsidTr="00CA34A0">
        <w:trPr>
          <w:trHeight w:val="1099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"/>
                <w:rFonts w:ascii="Liberation Serif" w:eastAsia="Calibri" w:hAnsi="Liberation Serif" w:cs="Liberation Serif"/>
              </w:rPr>
              <w:t>Перечень подпрограмм муниципальной программы (при их наличии)</w:t>
            </w:r>
          </w:p>
        </w:tc>
        <w:tc>
          <w:tcPr>
            <w:tcW w:w="652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2271BA">
            <w:pPr>
              <w:pStyle w:val="ParagraphStyle2"/>
              <w:jc w:val="both"/>
              <w:rPr>
                <w:rStyle w:val="CharacterStyle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2"/>
                <w:rFonts w:ascii="Liberation Serif" w:eastAsia="Calibri" w:hAnsi="Liberation Serif" w:cs="Liberation Serif"/>
              </w:rPr>
              <w:t>1. Развитие кадровой политики в системе муниципального управления Арамильского городского округа до 2024 года</w:t>
            </w:r>
          </w:p>
        </w:tc>
      </w:tr>
      <w:tr w:rsidR="00F0340D" w:rsidRPr="000F53D0" w:rsidTr="00453216">
        <w:trPr>
          <w:trHeight w:val="6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2. Противодействие коррупции в Арамильском городском округе до 2024 года</w:t>
            </w:r>
          </w:p>
        </w:tc>
      </w:tr>
      <w:tr w:rsidR="00F0340D" w:rsidRPr="000F53D0" w:rsidTr="00453216">
        <w:trPr>
          <w:trHeight w:val="6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3. Реализация мероприятий по улучшению условий и охраны труда до 2024 года</w:t>
            </w:r>
          </w:p>
        </w:tc>
      </w:tr>
      <w:tr w:rsidR="00F0340D" w:rsidRPr="000F53D0" w:rsidTr="00453216">
        <w:trPr>
          <w:trHeight w:val="6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5"/>
              <w:jc w:val="both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4. Развитие информационного общества в Арамильском городском округе до 2024 года</w:t>
            </w:r>
          </w:p>
        </w:tc>
      </w:tr>
      <w:tr w:rsidR="00F0340D" w:rsidRPr="000F53D0" w:rsidTr="00760105">
        <w:trPr>
          <w:trHeight w:val="31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7"/>
              <w:rPr>
                <w:rStyle w:val="CharacterStyle7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7"/>
                <w:rFonts w:ascii="Liberation Serif" w:eastAsia="Calibri" w:hAnsi="Liberation Serif" w:cs="Liberation Seri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8"/>
              <w:rPr>
                <w:rStyle w:val="CharacterStyle8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8"/>
                <w:rFonts w:ascii="Liberation Serif" w:eastAsia="Calibri" w:hAnsi="Liberation Serif" w:cs="Liberation Serif"/>
              </w:rPr>
              <w:t>1. Доля муниципальных нормативных правовых актов Арамильского городского округа, регулирующих вопросы прохождения муниципальной службы и правоотношения в сфере противодействия коррупции, которые приведены в соответствие с изменениями, вносимыми в федеральное законодательство и законодательство Свердловской области о прохождении муниципальной службы и противодействии коррупции</w:t>
            </w:r>
          </w:p>
        </w:tc>
      </w:tr>
      <w:tr w:rsidR="00F0340D" w:rsidRPr="000F53D0" w:rsidTr="00453216">
        <w:trPr>
          <w:trHeight w:val="100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876376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2. Укомплектованность органов местного самоуправления Арамильского городского округа квалифицированными кадрами</w:t>
            </w:r>
          </w:p>
        </w:tc>
      </w:tr>
      <w:tr w:rsidR="00F0340D" w:rsidRPr="000F53D0" w:rsidTr="00CA34A0">
        <w:trPr>
          <w:trHeight w:val="1986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CA34A0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3. Доля муниципальных служащих, нуждающихся в повышении квалификации и прошедших повышение квалификации за счет средств муниципального и областного бюджета, от запланированного количества муниципальных служащих, нуждающихся в повышении квалификации</w:t>
            </w:r>
          </w:p>
        </w:tc>
      </w:tr>
      <w:tr w:rsidR="00F0340D" w:rsidRPr="000F53D0" w:rsidTr="00CA34A0">
        <w:trPr>
          <w:trHeight w:val="1573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4. Доля органов местного самоуправления Арамильского городского округа, в которых сформированы кадровые резервы, от общего количества органов местного самоуправления Арамильского городского округа</w:t>
            </w:r>
          </w:p>
        </w:tc>
      </w:tr>
      <w:tr w:rsidR="00F0340D" w:rsidRPr="000F53D0" w:rsidTr="00CA34A0">
        <w:trPr>
          <w:trHeight w:val="974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5. Доля муниципальных служащих, прошедших аттестацию, от количества муниципальных служащих, подлежащих аттестации</w:t>
            </w:r>
          </w:p>
        </w:tc>
      </w:tr>
      <w:tr w:rsidR="00F0340D" w:rsidRPr="000F53D0" w:rsidTr="00CA34A0">
        <w:trPr>
          <w:trHeight w:val="959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6. Доля лиц, назначенных из резерва управленческих кадров Арамильского городского округа, от общего количества вакантных должностей</w:t>
            </w:r>
          </w:p>
        </w:tc>
      </w:tr>
      <w:tr w:rsidR="00F0340D" w:rsidRPr="000F53D0" w:rsidTr="00CA34A0">
        <w:trPr>
          <w:trHeight w:val="127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7. Доля муниципальных служащих Арамильского городского округа, прошедших обучение за счет областного бюджета от запланированного количества муниципальных служащих (не менее)</w:t>
            </w:r>
          </w:p>
        </w:tc>
      </w:tr>
      <w:tr w:rsidR="00F0340D" w:rsidRPr="000F53D0" w:rsidTr="00453216">
        <w:trPr>
          <w:trHeight w:val="6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8. Количество конкурсов на включение в резерв управленческих кадров</w:t>
            </w:r>
          </w:p>
        </w:tc>
      </w:tr>
      <w:tr w:rsidR="00F0340D" w:rsidRPr="000F53D0" w:rsidTr="00453216">
        <w:trPr>
          <w:trHeight w:val="6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9. Количество конкурсов на включение в кадровый резерв</w:t>
            </w:r>
          </w:p>
        </w:tc>
      </w:tr>
      <w:tr w:rsidR="00F0340D" w:rsidRPr="000F53D0" w:rsidTr="00760105">
        <w:trPr>
          <w:trHeight w:val="1719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10. Доля лиц, получающих пенсию за выслугу лет, в общей численности указанной категории лиц, имеющих право на выплату указанной пенсии и обратившихся в Администрацию Арамильского городского округа</w:t>
            </w:r>
          </w:p>
        </w:tc>
      </w:tr>
      <w:tr w:rsidR="00F0340D" w:rsidRPr="000F53D0" w:rsidTr="00760105">
        <w:trPr>
          <w:trHeight w:val="1561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760105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11. Доля проведенных заседаний комиссии по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противодействию коррупции информация о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результатах которых размещена на официальном сайте Арамильского городского округа, от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запланированного количества заседаний комиссии</w:t>
            </w:r>
          </w:p>
        </w:tc>
      </w:tr>
      <w:tr w:rsidR="00F0340D" w:rsidRPr="000F53D0" w:rsidTr="00453216">
        <w:trPr>
          <w:trHeight w:val="6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12. Наличие показателя эффективности антикоррупционных мер</w:t>
            </w:r>
          </w:p>
        </w:tc>
      </w:tr>
      <w:tr w:rsidR="00F0340D" w:rsidRPr="000F53D0" w:rsidTr="00CA34A0">
        <w:trPr>
          <w:trHeight w:val="1579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760105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13. Доля проведенных заседаний комиссии по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противодействию коррупции информация о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результатах которых размещена на официальном сайте Арамильского городского округа, от общего количества заседаний комиссий</w:t>
            </w:r>
          </w:p>
        </w:tc>
      </w:tr>
      <w:tr w:rsidR="00F0340D" w:rsidRPr="000F53D0" w:rsidTr="00CA34A0">
        <w:trPr>
          <w:trHeight w:val="1673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760105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14. Доля проведенных заседаний комиссии по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соблюдению требований к служебному поведению по поступившей информации о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несоблюдении требований к служебному поведению от общего количества проведенных заседаний комиссии</w:t>
            </w:r>
          </w:p>
        </w:tc>
      </w:tr>
      <w:tr w:rsidR="00F0340D" w:rsidRPr="000F53D0" w:rsidTr="00760105">
        <w:trPr>
          <w:trHeight w:val="1634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760105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15. Доля муниципальных служащих, своевременно предоставивших сведения о доходах, об имуществе и обязательствах имущественного характера, от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общего числа муниципальных служащих, обязанных предоставлять такие сведения.</w:t>
            </w:r>
          </w:p>
        </w:tc>
      </w:tr>
      <w:tr w:rsidR="00F0340D" w:rsidRPr="000F53D0" w:rsidTr="00CA34A0">
        <w:trPr>
          <w:trHeight w:val="687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16. Доля лиц, прошедших обучение по охране труда от запланированного количества</w:t>
            </w:r>
          </w:p>
        </w:tc>
      </w:tr>
      <w:tr w:rsidR="00F0340D" w:rsidRPr="000F53D0" w:rsidTr="00CA34A0">
        <w:trPr>
          <w:trHeight w:val="72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17. Доля лиц, прошедших обучение по пожарной безопасности от запланированного количества</w:t>
            </w:r>
          </w:p>
        </w:tc>
      </w:tr>
      <w:tr w:rsidR="00F0340D" w:rsidRPr="000F53D0" w:rsidTr="00CA34A0">
        <w:trPr>
          <w:trHeight w:val="976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18. Наличие оборудованного информационного стенда охраны труда в Администрации Арамильского городского округа</w:t>
            </w:r>
          </w:p>
        </w:tc>
      </w:tr>
      <w:tr w:rsidR="00F0340D" w:rsidRPr="000F53D0" w:rsidTr="00453216">
        <w:trPr>
          <w:trHeight w:val="100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19. Наличие оборудованного уголка по пожарной безопасности в Администрации Арамильского городского округа</w:t>
            </w:r>
          </w:p>
        </w:tc>
      </w:tr>
      <w:tr w:rsidR="00F0340D" w:rsidRPr="000F53D0" w:rsidTr="003A5267">
        <w:trPr>
          <w:trHeight w:val="6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20. Доля лиц, получивших средства индивидуальной защиты</w:t>
            </w:r>
          </w:p>
        </w:tc>
      </w:tr>
      <w:tr w:rsidR="00F0340D" w:rsidRPr="000F53D0" w:rsidTr="00760105">
        <w:trPr>
          <w:trHeight w:val="592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760105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21. Доля лиц, прошедших диспансеризацию, от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запланированного количества</w:t>
            </w:r>
          </w:p>
        </w:tc>
      </w:tr>
      <w:tr w:rsidR="00F0340D" w:rsidRPr="000F53D0" w:rsidTr="00760105">
        <w:trPr>
          <w:trHeight w:val="657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22. Доля лиц, прошедших первичный медицинский осмотр от запланированного количества</w:t>
            </w:r>
          </w:p>
        </w:tc>
      </w:tr>
      <w:tr w:rsidR="00F0340D" w:rsidRPr="000F53D0" w:rsidTr="003A5267">
        <w:trPr>
          <w:trHeight w:val="102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23. Доля лиц, прошедших периодический медицинский осмотр от запланированного количества</w:t>
            </w:r>
          </w:p>
        </w:tc>
      </w:tr>
      <w:tr w:rsidR="00F0340D" w:rsidRPr="000F53D0" w:rsidTr="003A5267">
        <w:trPr>
          <w:trHeight w:val="100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24. Доля прошедших специализированную оценку условий труда рабочих мест от общего количества рабочих мест</w:t>
            </w:r>
          </w:p>
        </w:tc>
      </w:tr>
      <w:tr w:rsidR="00F0340D" w:rsidRPr="000F53D0" w:rsidTr="00CA34A0">
        <w:trPr>
          <w:trHeight w:val="952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25. Доля органов местного самоуправления, подключенных к единой сети передачи данных Правительства Свердловской области</w:t>
            </w:r>
          </w:p>
        </w:tc>
      </w:tr>
      <w:tr w:rsidR="00F0340D" w:rsidRPr="000F53D0" w:rsidTr="00CA34A0">
        <w:trPr>
          <w:trHeight w:val="697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 w:rsidP="00760105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26. Количество центров общественного доступа к</w:t>
            </w:r>
            <w:r w:rsidR="00760105">
              <w:rPr>
                <w:rStyle w:val="CharacterStyle10"/>
                <w:rFonts w:ascii="Liberation Serif" w:eastAsia="Calibri" w:hAnsi="Liberation Serif" w:cs="Liberation Serif"/>
              </w:rPr>
              <w:t> </w:t>
            </w: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сети Интернет на базе муниципальных библиотек</w:t>
            </w:r>
          </w:p>
        </w:tc>
      </w:tr>
      <w:tr w:rsidR="00F0340D" w:rsidRPr="000F53D0" w:rsidTr="00CA34A0">
        <w:trPr>
          <w:trHeight w:val="99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27. Доля компьютерного парка органов местного самоуправления и муниципальных казенных учреждений со сроком эксплуатации не более 7 лет</w:t>
            </w:r>
          </w:p>
        </w:tc>
      </w:tr>
      <w:tr w:rsidR="00F0340D" w:rsidRPr="000F53D0" w:rsidTr="00CA34A0">
        <w:trPr>
          <w:trHeight w:val="707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28. Доля муниципальных учреждений, имеющих широкополосный доступ к сети Интернет</w:t>
            </w:r>
          </w:p>
        </w:tc>
      </w:tr>
      <w:tr w:rsidR="00F0340D" w:rsidRPr="000F53D0" w:rsidTr="00CA34A0">
        <w:trPr>
          <w:trHeight w:val="57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29. Доля используемого лицензионного системного программного обеспечения от общего количества</w:t>
            </w:r>
          </w:p>
        </w:tc>
      </w:tr>
      <w:tr w:rsidR="00F0340D" w:rsidRPr="000F53D0" w:rsidTr="003A5267">
        <w:trPr>
          <w:trHeight w:val="133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30. Доля рабочих мест с внедренной защитой персональных данных от общего количества рабочих мест, подлежащих защите персональных данных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"/>
              <w:rPr>
                <w:rStyle w:val="CharacterStyle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"/>
                <w:rFonts w:ascii="Liberation Serif" w:eastAsia="Calibri" w:hAnsi="Liberation Serif" w:cs="Liberation Serif"/>
              </w:rPr>
              <w:t>Обьем финансирования</w:t>
            </w:r>
          </w:p>
        </w:tc>
        <w:tc>
          <w:tcPr>
            <w:tcW w:w="652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2"/>
              <w:rPr>
                <w:rStyle w:val="CharacterStyle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2"/>
                <w:rFonts w:ascii="Liberation Serif" w:eastAsia="Calibri" w:hAnsi="Liberation Serif" w:cs="Liberation Serif"/>
              </w:rPr>
              <w:t>ВСЕГО: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6"/>
                <w:rFonts w:ascii="Liberation Serif" w:eastAsia="Calibri" w:hAnsi="Liberation Serif" w:cs="Liberation Serif"/>
              </w:rPr>
              <w:t>муниципальной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22 625,2 тыс. рублей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6"/>
                <w:rFonts w:ascii="Liberation Serif" w:eastAsia="Calibri" w:hAnsi="Liberation Serif" w:cs="Liberation Serif"/>
              </w:rPr>
              <w:t>программы по годам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в том числе:</w:t>
            </w:r>
          </w:p>
        </w:tc>
      </w:tr>
      <w:tr w:rsidR="00F0340D" w:rsidRPr="000F53D0" w:rsidTr="003A5267">
        <w:trPr>
          <w:trHeight w:val="165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6"/>
              <w:rPr>
                <w:rStyle w:val="CharacterStyle6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6"/>
                <w:rFonts w:ascii="Liberation Serif" w:eastAsia="Calibri" w:hAnsi="Liberation Serif" w:cs="Liberation Serif"/>
              </w:rPr>
              <w:t>реализации, тыс. рублей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 xml:space="preserve">2020 год - 4 221,7 тыс. рублей, </w:t>
            </w: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br/>
              <w:t xml:space="preserve">2021 год - 4 541,6 тыс. рублей, </w:t>
            </w: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br/>
              <w:t xml:space="preserve">2022 год - 4 967,7 тыс. рублей, </w:t>
            </w: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br/>
              <w:t xml:space="preserve">2023 год - 4 372,5 тыс. рублей, </w:t>
            </w: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br/>
              <w:t>2024 год - 4 521,7 тыс. рублей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4"/>
              <w:rPr>
                <w:rStyle w:val="CharacterStyle4"/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5"/>
              <w:rPr>
                <w:rStyle w:val="CharacterStyle5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5"/>
                <w:rFonts w:ascii="Liberation Serif" w:eastAsia="Calibri" w:hAnsi="Liberation Serif" w:cs="Liberation Serif"/>
              </w:rPr>
              <w:t>из них: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областной бюджет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t>0,0 тыс. рублей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t>в том числе:</w:t>
            </w:r>
          </w:p>
        </w:tc>
      </w:tr>
      <w:tr w:rsidR="00F0340D" w:rsidRPr="000F53D0" w:rsidTr="003A5267">
        <w:trPr>
          <w:trHeight w:val="166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t xml:space="preserve">2020 год - 0,0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 xml:space="preserve">2021 год - 0,0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 xml:space="preserve">2022 год - 0,0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 xml:space="preserve">2023 год - 0,0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>2024 год - 0,0 тыс. рублей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0"/>
              <w:rPr>
                <w:rStyle w:val="CharacterStyle10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0"/>
                <w:rFonts w:ascii="Liberation Serif" w:eastAsia="Calibri" w:hAnsi="Liberation Serif" w:cs="Liberation Serif"/>
              </w:rPr>
              <w:t>местный бюджет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t>22 625,2 тыс. рублей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t>в том числе:</w:t>
            </w:r>
          </w:p>
        </w:tc>
      </w:tr>
      <w:tr w:rsidR="00F0340D" w:rsidRPr="000F53D0" w:rsidTr="003A5267">
        <w:trPr>
          <w:trHeight w:val="1665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9"/>
              <w:rPr>
                <w:rStyle w:val="CharacterStyle9"/>
                <w:rFonts w:ascii="Liberation Serif" w:eastAsia="Calibri" w:hAnsi="Liberation Serif" w:cs="Liberation Serif"/>
              </w:rPr>
            </w:pP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1"/>
              <w:rPr>
                <w:rStyle w:val="CharacterStyle11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t xml:space="preserve">2020 год - 4 221,7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 xml:space="preserve">2021 год - 4 541,6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 xml:space="preserve">2022 год - 4 967,7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 xml:space="preserve">2023 год - 4 372,5 тыс. рублей, </w:t>
            </w:r>
            <w:r w:rsidRPr="000F53D0">
              <w:rPr>
                <w:rStyle w:val="CharacterStyle11"/>
                <w:rFonts w:ascii="Liberation Serif" w:eastAsia="Calibri" w:hAnsi="Liberation Serif" w:cs="Liberation Serif"/>
              </w:rPr>
              <w:br/>
              <w:t>2024 год - 4 521,7 тыс. рублей</w:t>
            </w: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7"/>
              <w:rPr>
                <w:rStyle w:val="CharacterStyle7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7"/>
                <w:rFonts w:ascii="Liberation Serif" w:eastAsia="Calibri" w:hAnsi="Liberation Serif" w:cs="Liberation Serif"/>
              </w:rPr>
              <w:t>Адрес размещения</w:t>
            </w:r>
          </w:p>
        </w:tc>
        <w:tc>
          <w:tcPr>
            <w:tcW w:w="652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3F063D">
            <w:pPr>
              <w:pStyle w:val="ParagraphStyle8"/>
              <w:rPr>
                <w:rStyle w:val="CharacterStyle8"/>
                <w:rFonts w:ascii="Liberation Serif" w:eastAsia="Calibri" w:hAnsi="Liberation Serif" w:cs="Liberation Serif"/>
              </w:rPr>
            </w:pPr>
            <w:hyperlink r:id="rId6" w:history="1">
              <w:r w:rsidR="006C585F" w:rsidRPr="000F53D0">
                <w:rPr>
                  <w:rFonts w:ascii="Liberation Serif" w:hAnsi="Liberation Serif" w:cs="Liberation Serif"/>
                  <w:sz w:val="28"/>
                  <w:szCs w:val="28"/>
                  <w:u w:val="single"/>
                </w:rPr>
                <w:t>https://www.aramilgo.ru/</w:t>
              </w:r>
            </w:hyperlink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2"/>
              <w:rPr>
                <w:rStyle w:val="CharacterStyle1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2"/>
                <w:rFonts w:ascii="Liberation Serif" w:eastAsia="Calibri" w:hAnsi="Liberation Serif" w:cs="Liberation Serif"/>
              </w:rPr>
              <w:t>муниципальной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13"/>
              <w:rPr>
                <w:rStyle w:val="CharacterStyle13"/>
                <w:rFonts w:ascii="Liberation Serif" w:eastAsia="Calibri" w:hAnsi="Liberation Serif" w:cs="Liberation Serif"/>
              </w:rPr>
            </w:pP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2"/>
              <w:rPr>
                <w:rStyle w:val="CharacterStyle1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2"/>
                <w:rFonts w:ascii="Liberation Serif" w:eastAsia="Calibri" w:hAnsi="Liberation Serif" w:cs="Liberation Serif"/>
              </w:rPr>
              <w:t>программы в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13"/>
              <w:rPr>
                <w:rStyle w:val="CharacterStyle13"/>
                <w:rFonts w:ascii="Liberation Serif" w:eastAsia="Calibri" w:hAnsi="Liberation Serif" w:cs="Liberation Serif"/>
              </w:rPr>
            </w:pP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2"/>
              <w:rPr>
                <w:rStyle w:val="CharacterStyle1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2"/>
                <w:rFonts w:ascii="Liberation Serif" w:eastAsia="Calibri" w:hAnsi="Liberation Serif" w:cs="Liberation Serif"/>
              </w:rPr>
              <w:t>информационно-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13"/>
              <w:rPr>
                <w:rStyle w:val="CharacterStyle13"/>
                <w:rFonts w:ascii="Liberation Serif" w:eastAsia="Calibri" w:hAnsi="Liberation Serif" w:cs="Liberation Serif"/>
              </w:rPr>
            </w:pP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2"/>
              <w:rPr>
                <w:rStyle w:val="CharacterStyle12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2"/>
                <w:rFonts w:ascii="Liberation Serif" w:eastAsia="Calibri" w:hAnsi="Liberation Serif" w:cs="Liberation Serif"/>
              </w:rPr>
              <w:t>-телекоммуникационной</w:t>
            </w:r>
          </w:p>
        </w:tc>
        <w:tc>
          <w:tcPr>
            <w:tcW w:w="65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13"/>
              <w:rPr>
                <w:rStyle w:val="CharacterStyle13"/>
                <w:rFonts w:ascii="Liberation Serif" w:eastAsia="Calibri" w:hAnsi="Liberation Serif" w:cs="Liberation Serif"/>
              </w:rPr>
            </w:pPr>
          </w:p>
        </w:tc>
      </w:tr>
      <w:tr w:rsidR="00F0340D" w:rsidRPr="000F53D0" w:rsidTr="003A5267">
        <w:trPr>
          <w:trHeight w:val="360"/>
        </w:trPr>
        <w:tc>
          <w:tcPr>
            <w:tcW w:w="285" w:type="dxa"/>
          </w:tcPr>
          <w:p w:rsidR="00F0340D" w:rsidRPr="000F53D0" w:rsidRDefault="00F0340D">
            <w:pPr>
              <w:rPr>
                <w:rStyle w:val="FakeCharacterStyle"/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8E039D">
            <w:pPr>
              <w:pStyle w:val="ParagraphStyle14"/>
              <w:rPr>
                <w:rStyle w:val="CharacterStyle14"/>
                <w:rFonts w:ascii="Liberation Serif" w:eastAsia="Calibri" w:hAnsi="Liberation Serif" w:cs="Liberation Serif"/>
              </w:rPr>
            </w:pPr>
            <w:r w:rsidRPr="000F53D0">
              <w:rPr>
                <w:rStyle w:val="CharacterStyle14"/>
                <w:rFonts w:ascii="Liberation Serif" w:eastAsia="Calibri" w:hAnsi="Liberation Serif" w:cs="Liberation Serif"/>
              </w:rPr>
              <w:t>сети Интернет</w:t>
            </w:r>
          </w:p>
        </w:tc>
        <w:tc>
          <w:tcPr>
            <w:tcW w:w="65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0D" w:rsidRPr="000F53D0" w:rsidRDefault="00F0340D">
            <w:pPr>
              <w:pStyle w:val="ParagraphStyle15"/>
              <w:rPr>
                <w:rStyle w:val="CharacterStyle15"/>
                <w:rFonts w:ascii="Liberation Serif" w:eastAsia="Calibri" w:hAnsi="Liberation Serif" w:cs="Liberation Serif"/>
              </w:rPr>
            </w:pPr>
          </w:p>
        </w:tc>
      </w:tr>
    </w:tbl>
    <w:p w:rsidR="00F0340D" w:rsidRPr="000F53D0" w:rsidRDefault="00F0340D">
      <w:pPr>
        <w:spacing w:line="15" w:lineRule="exact"/>
        <w:rPr>
          <w:rFonts w:ascii="Liberation Serif" w:hAnsi="Liberation Serif" w:cs="Liberation Serif"/>
          <w:sz w:val="28"/>
          <w:szCs w:val="28"/>
        </w:rPr>
      </w:pPr>
    </w:p>
    <w:sectPr w:rsidR="00F0340D" w:rsidRPr="000F53D0" w:rsidSect="00453216">
      <w:headerReference w:type="default" r:id="rId7"/>
      <w:footerReference w:type="default" r:id="rId8"/>
      <w:pgSz w:w="12240" w:h="15840"/>
      <w:pgMar w:top="950" w:right="758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3D" w:rsidRDefault="003F063D">
      <w:r>
        <w:separator/>
      </w:r>
    </w:p>
  </w:endnote>
  <w:endnote w:type="continuationSeparator" w:id="0">
    <w:p w:rsidR="003F063D" w:rsidRDefault="003F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0D" w:rsidRDefault="00F0340D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3D" w:rsidRDefault="003F063D">
      <w:r>
        <w:separator/>
      </w:r>
    </w:p>
  </w:footnote>
  <w:footnote w:type="continuationSeparator" w:id="0">
    <w:p w:rsidR="003F063D" w:rsidRDefault="003F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0D" w:rsidRDefault="00F0340D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0D"/>
    <w:rsid w:val="000F53D0"/>
    <w:rsid w:val="001F0E5C"/>
    <w:rsid w:val="002271BA"/>
    <w:rsid w:val="0030348F"/>
    <w:rsid w:val="003A5267"/>
    <w:rsid w:val="003F063D"/>
    <w:rsid w:val="00453216"/>
    <w:rsid w:val="006C585F"/>
    <w:rsid w:val="00717A3E"/>
    <w:rsid w:val="00760105"/>
    <w:rsid w:val="00876376"/>
    <w:rsid w:val="008E039D"/>
    <w:rsid w:val="00AA44D9"/>
    <w:rsid w:val="00C804D8"/>
    <w:rsid w:val="00C81EE9"/>
    <w:rsid w:val="00CA34A0"/>
    <w:rsid w:val="00F0340D"/>
    <w:rsid w:val="00FB6FF5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33A"/>
  <w15:docId w15:val="{5C152E7B-48F4-402C-9110-D4A7610B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FB6FF5"/>
    <w:pPr>
      <w:keepNext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115"/>
    </w:pPr>
  </w:style>
  <w:style w:type="paragraph" w:customStyle="1" w:styleId="ParagraphStyle8">
    <w:name w:val="ParagraphStyle8"/>
    <w:hidden/>
    <w:pPr>
      <w:ind w:left="115" w:right="115"/>
      <w:jc w:val="both"/>
    </w:pPr>
  </w:style>
  <w:style w:type="paragraph" w:customStyle="1" w:styleId="ParagraphStyle9">
    <w:name w:val="ParagraphStyle9"/>
    <w:hidden/>
    <w:pPr>
      <w:ind w:left="115"/>
    </w:pPr>
  </w:style>
  <w:style w:type="paragraph" w:customStyle="1" w:styleId="ParagraphStyle10">
    <w:name w:val="ParagraphStyle10"/>
    <w:hidden/>
    <w:pPr>
      <w:ind w:left="115" w:right="115"/>
      <w:jc w:val="both"/>
    </w:pPr>
  </w:style>
  <w:style w:type="paragraph" w:customStyle="1" w:styleId="ParagraphStyle11">
    <w:name w:val="ParagraphStyle11"/>
    <w:hidden/>
    <w:pPr>
      <w:ind w:left="115"/>
    </w:pPr>
  </w:style>
  <w:style w:type="paragraph" w:customStyle="1" w:styleId="ParagraphStyle12">
    <w:name w:val="ParagraphStyle12"/>
    <w:hidden/>
    <w:pPr>
      <w:ind w:left="115"/>
    </w:pPr>
  </w:style>
  <w:style w:type="paragraph" w:customStyle="1" w:styleId="ParagraphStyle13">
    <w:name w:val="ParagraphStyle13"/>
    <w:hidden/>
    <w:pPr>
      <w:ind w:left="115"/>
    </w:pPr>
  </w:style>
  <w:style w:type="paragraph" w:customStyle="1" w:styleId="ParagraphStyle14">
    <w:name w:val="ParagraphStyle14"/>
    <w:hidden/>
    <w:pPr>
      <w:ind w:left="115"/>
    </w:pPr>
  </w:style>
  <w:style w:type="paragraph" w:customStyle="1" w:styleId="ParagraphStyle15">
    <w:name w:val="ParagraphStyle15"/>
    <w:hidden/>
    <w:pPr>
      <w:ind w:left="115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FB6FF5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80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milg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Кристина Сергеевна</cp:lastModifiedBy>
  <cp:revision>4</cp:revision>
  <cp:lastPrinted>2022-12-06T06:08:00Z</cp:lastPrinted>
  <dcterms:created xsi:type="dcterms:W3CDTF">2022-12-06T06:08:00Z</dcterms:created>
  <dcterms:modified xsi:type="dcterms:W3CDTF">2022-12-07T07:59:00Z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